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C54977" w14:textId="77777777" w:rsidR="006510AF" w:rsidRPr="00883A3A" w:rsidRDefault="00000000" w:rsidP="00883A3A">
      <w:pPr>
        <w:spacing w:after="60"/>
        <w:jc w:val="center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70A01891" w14:textId="77777777" w:rsidR="006510AF" w:rsidRPr="00883A3A" w:rsidRDefault="00000000" w:rsidP="00883A3A">
      <w:pPr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b/>
          <w:bCs/>
          <w:sz w:val="24"/>
          <w:szCs w:val="24"/>
        </w:rPr>
        <w:t>Сервис пассивной оценки уязвимостей АСУ ТП и ИТ-активов по бюллетеням производителей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7060"/>
      </w:tblGrid>
      <w:tr w:rsidR="006510AF" w:rsidRPr="00883A3A" w14:paraId="3A6E3568" w14:textId="77777777" w:rsidTr="00883A3A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CFD8"/>
              <w:left w:val="single" w:sz="4" w:space="0" w:color="BFCFD8"/>
              <w:bottom w:val="single" w:sz="4" w:space="0" w:color="BFCFD8"/>
              <w:right w:val="single" w:sz="4" w:space="0" w:color="BFCFD8"/>
            </w:tcBorders>
            <w:shd w:val="clear" w:color="auto" w:fill="EA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DB77AC" w14:textId="77777777" w:rsidR="006510AF" w:rsidRPr="00883A3A" w:rsidRDefault="00000000" w:rsidP="00883A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A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 задачи</w:t>
            </w:r>
          </w:p>
        </w:tc>
        <w:tc>
          <w:tcPr>
            <w:tcW w:w="7060" w:type="dxa"/>
            <w:tcBorders>
              <w:top w:val="single" w:sz="4" w:space="0" w:color="BFCFD8"/>
              <w:left w:val="single" w:sz="4" w:space="0" w:color="BFCFD8"/>
              <w:bottom w:val="single" w:sz="4" w:space="0" w:color="BFCFD8"/>
              <w:right w:val="single" w:sz="4" w:space="0" w:color="BFCF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8AEB36" w14:textId="77777777" w:rsidR="006510AF" w:rsidRPr="00883A3A" w:rsidRDefault="00000000" w:rsidP="00883A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A3A">
              <w:rPr>
                <w:rFonts w:ascii="Times New Roman" w:hAnsi="Times New Roman" w:cs="Times New Roman"/>
                <w:sz w:val="24"/>
                <w:szCs w:val="24"/>
              </w:rPr>
              <w:t>ТОО «Devix 04»</w:t>
            </w:r>
          </w:p>
        </w:tc>
      </w:tr>
      <w:tr w:rsidR="006510AF" w:rsidRPr="00883A3A" w14:paraId="4F021CB0" w14:textId="77777777" w:rsidTr="00883A3A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CFD8"/>
              <w:left w:val="single" w:sz="4" w:space="0" w:color="BFCFD8"/>
              <w:bottom w:val="single" w:sz="4" w:space="0" w:color="BFCFD8"/>
              <w:right w:val="single" w:sz="4" w:space="0" w:color="BFCFD8"/>
            </w:tcBorders>
            <w:shd w:val="clear" w:color="auto" w:fill="EA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03B8DD" w14:textId="77777777" w:rsidR="006510AF" w:rsidRPr="00883A3A" w:rsidRDefault="00000000" w:rsidP="00883A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A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задачи</w:t>
            </w:r>
          </w:p>
        </w:tc>
        <w:tc>
          <w:tcPr>
            <w:tcW w:w="7060" w:type="dxa"/>
            <w:tcBorders>
              <w:top w:val="single" w:sz="4" w:space="0" w:color="BFCFD8"/>
              <w:left w:val="single" w:sz="4" w:space="0" w:color="BFCFD8"/>
              <w:bottom w:val="single" w:sz="4" w:space="0" w:color="BFCFD8"/>
              <w:right w:val="single" w:sz="4" w:space="0" w:color="BFCF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D7C734" w14:textId="77777777" w:rsidR="006510AF" w:rsidRPr="00883A3A" w:rsidRDefault="00000000" w:rsidP="00883A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A3A">
              <w:rPr>
                <w:rFonts w:ascii="Times New Roman" w:hAnsi="Times New Roman" w:cs="Times New Roman"/>
                <w:sz w:val="24"/>
                <w:szCs w:val="24"/>
              </w:rPr>
              <w:t>Задача ИКТ</w:t>
            </w:r>
          </w:p>
        </w:tc>
      </w:tr>
      <w:tr w:rsidR="006510AF" w:rsidRPr="00883A3A" w14:paraId="68C465CD" w14:textId="77777777" w:rsidTr="00883A3A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CFD8"/>
              <w:left w:val="single" w:sz="4" w:space="0" w:color="BFCFD8"/>
              <w:bottom w:val="single" w:sz="4" w:space="0" w:color="BFCFD8"/>
              <w:right w:val="single" w:sz="4" w:space="0" w:color="BFCFD8"/>
            </w:tcBorders>
            <w:shd w:val="clear" w:color="auto" w:fill="EA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135D16" w14:textId="77777777" w:rsidR="006510AF" w:rsidRPr="00883A3A" w:rsidRDefault="00000000" w:rsidP="00883A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A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Сфера применения</w:t>
            </w:r>
          </w:p>
        </w:tc>
        <w:tc>
          <w:tcPr>
            <w:tcW w:w="7060" w:type="dxa"/>
            <w:tcBorders>
              <w:top w:val="single" w:sz="4" w:space="0" w:color="BFCFD8"/>
              <w:left w:val="single" w:sz="4" w:space="0" w:color="BFCFD8"/>
              <w:bottom w:val="single" w:sz="4" w:space="0" w:color="BFCFD8"/>
              <w:right w:val="single" w:sz="4" w:space="0" w:color="BFCF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E6E3F7" w14:textId="77777777" w:rsidR="006510AF" w:rsidRPr="00883A3A" w:rsidRDefault="00000000" w:rsidP="00883A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A3A">
              <w:rPr>
                <w:rFonts w:ascii="Times New Roman" w:hAnsi="Times New Roman" w:cs="Times New Roman"/>
                <w:sz w:val="24"/>
                <w:szCs w:val="24"/>
              </w:rPr>
              <w:t>Электроэнергетика, промышленные объекты с АСУ ТП</w:t>
            </w:r>
          </w:p>
        </w:tc>
      </w:tr>
      <w:tr w:rsidR="006510AF" w:rsidRPr="00883A3A" w14:paraId="46FB0116" w14:textId="77777777" w:rsidTr="00883A3A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CFD8"/>
              <w:left w:val="single" w:sz="4" w:space="0" w:color="BFCFD8"/>
              <w:bottom w:val="single" w:sz="4" w:space="0" w:color="BFCFD8"/>
              <w:right w:val="single" w:sz="4" w:space="0" w:color="BFCFD8"/>
            </w:tcBorders>
            <w:shd w:val="clear" w:color="auto" w:fill="EA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8258F7" w14:textId="77777777" w:rsidR="006510AF" w:rsidRPr="00883A3A" w:rsidRDefault="00000000" w:rsidP="00883A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A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Область</w:t>
            </w:r>
          </w:p>
        </w:tc>
        <w:tc>
          <w:tcPr>
            <w:tcW w:w="7060" w:type="dxa"/>
            <w:tcBorders>
              <w:top w:val="single" w:sz="4" w:space="0" w:color="BFCFD8"/>
              <w:left w:val="single" w:sz="4" w:space="0" w:color="BFCFD8"/>
              <w:bottom w:val="single" w:sz="4" w:space="0" w:color="BFCFD8"/>
              <w:right w:val="single" w:sz="4" w:space="0" w:color="BFCF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9BE05D" w14:textId="77777777" w:rsidR="006510AF" w:rsidRPr="00883A3A" w:rsidRDefault="00000000" w:rsidP="00883A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A3A">
              <w:rPr>
                <w:rFonts w:ascii="Times New Roman" w:hAnsi="Times New Roman" w:cs="Times New Roman"/>
                <w:sz w:val="24"/>
                <w:szCs w:val="24"/>
              </w:rPr>
              <w:t>Технологии цифровой безопасности</w:t>
            </w:r>
          </w:p>
        </w:tc>
      </w:tr>
      <w:tr w:rsidR="006510AF" w:rsidRPr="00883A3A" w14:paraId="48348E07" w14:textId="77777777" w:rsidTr="00883A3A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CFD8"/>
              <w:left w:val="single" w:sz="4" w:space="0" w:color="BFCFD8"/>
              <w:bottom w:val="single" w:sz="4" w:space="0" w:color="BFCFD8"/>
              <w:right w:val="single" w:sz="4" w:space="0" w:color="BFCFD8"/>
            </w:tcBorders>
            <w:shd w:val="clear" w:color="auto" w:fill="EA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6596C4" w14:textId="77777777" w:rsidR="006510AF" w:rsidRPr="00883A3A" w:rsidRDefault="00000000" w:rsidP="00883A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A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продукта</w:t>
            </w:r>
          </w:p>
        </w:tc>
        <w:tc>
          <w:tcPr>
            <w:tcW w:w="7060" w:type="dxa"/>
            <w:tcBorders>
              <w:top w:val="single" w:sz="4" w:space="0" w:color="BFCFD8"/>
              <w:left w:val="single" w:sz="4" w:space="0" w:color="BFCFD8"/>
              <w:bottom w:val="single" w:sz="4" w:space="0" w:color="BFCFD8"/>
              <w:right w:val="single" w:sz="4" w:space="0" w:color="BFCF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5594A7" w14:textId="77777777" w:rsidR="006510AF" w:rsidRPr="00883A3A" w:rsidRDefault="00000000" w:rsidP="00883A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A3A">
              <w:rPr>
                <w:rFonts w:ascii="Times New Roman" w:hAnsi="Times New Roman" w:cs="Times New Roman"/>
                <w:sz w:val="24"/>
                <w:szCs w:val="24"/>
              </w:rPr>
              <w:t>ПО / информационная система</w:t>
            </w:r>
          </w:p>
        </w:tc>
      </w:tr>
      <w:tr w:rsidR="006510AF" w:rsidRPr="00883A3A" w14:paraId="3172054F" w14:textId="77777777" w:rsidTr="00883A3A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CFD8"/>
              <w:left w:val="single" w:sz="4" w:space="0" w:color="BFCFD8"/>
              <w:bottom w:val="single" w:sz="4" w:space="0" w:color="BFCFD8"/>
              <w:right w:val="single" w:sz="4" w:space="0" w:color="BFCFD8"/>
            </w:tcBorders>
            <w:shd w:val="clear" w:color="auto" w:fill="EA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3987B3" w14:textId="77777777" w:rsidR="006510AF" w:rsidRPr="00883A3A" w:rsidRDefault="00000000" w:rsidP="00883A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A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Статус продукта</w:t>
            </w:r>
          </w:p>
        </w:tc>
        <w:tc>
          <w:tcPr>
            <w:tcW w:w="7060" w:type="dxa"/>
            <w:tcBorders>
              <w:top w:val="single" w:sz="4" w:space="0" w:color="BFCFD8"/>
              <w:left w:val="single" w:sz="4" w:space="0" w:color="BFCFD8"/>
              <w:bottom w:val="single" w:sz="4" w:space="0" w:color="BFCFD8"/>
              <w:right w:val="single" w:sz="4" w:space="0" w:color="BFCF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1799BE" w14:textId="77777777" w:rsidR="006510AF" w:rsidRPr="00883A3A" w:rsidRDefault="00000000" w:rsidP="00883A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A3A">
              <w:rPr>
                <w:rFonts w:ascii="Times New Roman" w:hAnsi="Times New Roman" w:cs="Times New Roman"/>
                <w:sz w:val="24"/>
                <w:szCs w:val="24"/>
              </w:rPr>
              <w:t>Идея</w:t>
            </w:r>
          </w:p>
        </w:tc>
      </w:tr>
    </w:tbl>
    <w:p w14:paraId="7E428821" w14:textId="77777777" w:rsidR="006510AF" w:rsidRPr="00883A3A" w:rsidRDefault="00000000" w:rsidP="00883A3A">
      <w:pPr>
        <w:pStyle w:val="2"/>
        <w:spacing w:before="240" w:after="1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83A3A">
        <w:rPr>
          <w:rFonts w:ascii="Times New Roman" w:hAnsi="Times New Roman" w:cs="Times New Roman"/>
          <w:b/>
          <w:bCs/>
          <w:color w:val="auto"/>
          <w:sz w:val="24"/>
          <w:szCs w:val="24"/>
        </w:rPr>
        <w:t>1. Цель</w:t>
      </w:r>
    </w:p>
    <w:p w14:paraId="596D516C" w14:textId="77777777" w:rsidR="006510AF" w:rsidRPr="00883A3A" w:rsidRDefault="00000000" w:rsidP="00883A3A">
      <w:pPr>
        <w:spacing w:after="12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Создать программный сервис, который по реестру активов (оборудование и программное обеспечение с версиями) автоматически сопоставляет их с опубликованными бюллетенями безопасности производителей и базами уязвимостей и формирует перечень применимых уязвимостей с оценкой критичности, статусом исправления и рекомендованными мерами — без активного сканирования сети.</w:t>
      </w:r>
    </w:p>
    <w:p w14:paraId="51D98A9A" w14:textId="77777777" w:rsidR="006510AF" w:rsidRPr="00883A3A" w:rsidRDefault="00000000" w:rsidP="00883A3A">
      <w:pPr>
        <w:pStyle w:val="2"/>
        <w:spacing w:before="240" w:after="1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83A3A">
        <w:rPr>
          <w:rFonts w:ascii="Times New Roman" w:hAnsi="Times New Roman" w:cs="Times New Roman"/>
          <w:b/>
          <w:bCs/>
          <w:color w:val="auto"/>
          <w:sz w:val="24"/>
          <w:szCs w:val="24"/>
        </w:rPr>
        <w:t>2. Описание проблемы</w:t>
      </w:r>
    </w:p>
    <w:p w14:paraId="21A72524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На объектах с АСУ ТП (электроэнергетика, промышленность) активное сканирование технологической сети недопустимо: оно может повлиять на работу контроллеров и технологического процесса.</w:t>
      </w:r>
    </w:p>
    <w:p w14:paraId="24489ED6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Поэтому уязвимости оцениваются вручную: специалист сверяет модели и версии прошивок с бюллетенями производителей (например, Siemens ProductCERT, бюллетени CISA ICS) и базой NVD. Это долго, зависит от квалификации и плохо воспроизводится.</w:t>
      </w:r>
    </w:p>
    <w:p w14:paraId="11023988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Такая оценка нужна для подготовки к испытаниям по кибербезопасности и регуляторным проверкам, в том числе по требованиям к АСУ ТП (ЕТ № 832, гл. 4).</w:t>
      </w:r>
    </w:p>
    <w:p w14:paraId="1D65DC51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Платформы непрерывного мониторинга АСУ ТП предполагают установку сенсоров в технологическую сеть. Для периодической оценки по реестру активов нужен более лёгкий инструмент.</w:t>
      </w:r>
    </w:p>
    <w:p w14:paraId="67C1D4F5" w14:textId="77777777" w:rsidR="006510AF" w:rsidRPr="00883A3A" w:rsidRDefault="00000000" w:rsidP="00883A3A">
      <w:pPr>
        <w:pStyle w:val="2"/>
        <w:spacing w:before="240" w:after="1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83A3A">
        <w:rPr>
          <w:rFonts w:ascii="Times New Roman" w:hAnsi="Times New Roman" w:cs="Times New Roman"/>
          <w:b/>
          <w:bCs/>
          <w:color w:val="auto"/>
          <w:sz w:val="24"/>
          <w:szCs w:val="24"/>
        </w:rPr>
        <w:t>3. Пользователи</w:t>
      </w:r>
    </w:p>
    <w:p w14:paraId="1213AA6D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Консультанты и аудиторы по информационной безопасности.</w:t>
      </w:r>
    </w:p>
    <w:p w14:paraId="177DCEE6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Специалисты ИБ и инженеры АСУ ТП организаций-владельцев объектов.</w:t>
      </w:r>
    </w:p>
    <w:p w14:paraId="507702FA" w14:textId="77777777" w:rsidR="006510AF" w:rsidRPr="00883A3A" w:rsidRDefault="00000000" w:rsidP="00883A3A">
      <w:pPr>
        <w:pStyle w:val="2"/>
        <w:spacing w:before="240" w:after="1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83A3A">
        <w:rPr>
          <w:rFonts w:ascii="Times New Roman" w:hAnsi="Times New Roman" w:cs="Times New Roman"/>
          <w:b/>
          <w:bCs/>
          <w:color w:val="auto"/>
          <w:sz w:val="24"/>
          <w:szCs w:val="24"/>
        </w:rPr>
        <w:t>4. Функциональные требования</w:t>
      </w:r>
    </w:p>
    <w:p w14:paraId="00BA1E38" w14:textId="77777777" w:rsidR="006510AF" w:rsidRPr="00883A3A" w:rsidRDefault="00000000" w:rsidP="00883A3A">
      <w:pPr>
        <w:spacing w:before="140" w:after="80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b/>
          <w:bCs/>
          <w:sz w:val="24"/>
          <w:szCs w:val="24"/>
        </w:rPr>
        <w:t>4.1. Импорт реестра активов</w:t>
      </w:r>
    </w:p>
    <w:p w14:paraId="7F26054F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Загрузка из XLSX/CSV по шаблону: производитель, модель, заказной номер (например, MLFB для Siemens), версия прошивки или ПО, тип актива, место установки, сегмент сети, критичность.</w:t>
      </w:r>
    </w:p>
    <w:p w14:paraId="70A6A607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Проверка и подсветка неполных или некорректных записей.</w:t>
      </w:r>
    </w:p>
    <w:p w14:paraId="443C495D" w14:textId="77777777" w:rsidR="006510AF" w:rsidRPr="00883A3A" w:rsidRDefault="00000000" w:rsidP="00883A3A">
      <w:pPr>
        <w:spacing w:before="140" w:after="80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b/>
          <w:bCs/>
          <w:sz w:val="24"/>
          <w:szCs w:val="24"/>
        </w:rPr>
        <w:lastRenderedPageBreak/>
        <w:t>4.2. Источники данных об уязвимостях</w:t>
      </w:r>
    </w:p>
    <w:p w14:paraId="57D74123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Бюллетени Siemens ProductCERT в машиночитаемом формате CSAF.</w:t>
      </w:r>
    </w:p>
    <w:p w14:paraId="77EAB913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Бюллетени CISA ICS.</w:t>
      </w:r>
    </w:p>
    <w:p w14:paraId="02CAF42F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NVD (CVE, CPE).</w:t>
      </w:r>
    </w:p>
    <w:p w14:paraId="3F06604D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Возможность подключать другие источники в формате CSAF.</w:t>
      </w:r>
    </w:p>
    <w:p w14:paraId="72A950C6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Офлайн-обновление: загрузка пакета баз вручную для изолированных сетей.</w:t>
      </w:r>
    </w:p>
    <w:p w14:paraId="648CB4DD" w14:textId="77777777" w:rsidR="006510AF" w:rsidRPr="00883A3A" w:rsidRDefault="00000000" w:rsidP="00883A3A">
      <w:pPr>
        <w:spacing w:before="140" w:after="80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b/>
          <w:bCs/>
          <w:sz w:val="24"/>
          <w:szCs w:val="24"/>
        </w:rPr>
        <w:t>4.3. Сопоставление</w:t>
      </w:r>
    </w:p>
    <w:p w14:paraId="05036292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Нормализация наименований производителей и продуктов, сравнение диапазонов затронутых версий.</w:t>
      </w:r>
    </w:p>
    <w:p w14:paraId="6DE93E2C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Оценка уверенности сопоставления; ручное подтверждение неоднозначных случаев; журнал решений.</w:t>
      </w:r>
    </w:p>
    <w:p w14:paraId="28031499" w14:textId="77777777" w:rsidR="006510AF" w:rsidRPr="00883A3A" w:rsidRDefault="00000000" w:rsidP="00883A3A">
      <w:pPr>
        <w:spacing w:before="140" w:after="80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b/>
          <w:bCs/>
          <w:sz w:val="24"/>
          <w:szCs w:val="24"/>
        </w:rPr>
        <w:t>4.4. Результат по каждому активу</w:t>
      </w:r>
    </w:p>
    <w:p w14:paraId="1939F9BE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Идентификатор бюллетеня, CVE, CVSS (базовая оценка и вектор).</w:t>
      </w:r>
    </w:p>
    <w:p w14:paraId="602E9E6D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Статус исправления: исправление доступно / исправление не планируется / только меры снижения риска.</w:t>
      </w:r>
    </w:p>
    <w:p w14:paraId="7780A279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Рекомендованные производителем меры и ссылка на первоисточник.</w:t>
      </w:r>
    </w:p>
    <w:p w14:paraId="1CE5E4DC" w14:textId="77777777" w:rsidR="006510AF" w:rsidRPr="00883A3A" w:rsidRDefault="00000000" w:rsidP="00883A3A">
      <w:pPr>
        <w:spacing w:before="140" w:after="80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b/>
          <w:bCs/>
          <w:sz w:val="24"/>
          <w:szCs w:val="24"/>
        </w:rPr>
        <w:t>4.5. Приоритизация и учёт решений</w:t>
      </w:r>
    </w:p>
    <w:p w14:paraId="3A898ACA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Приоритет с учётом критичности актива и сегмента сети.</w:t>
      </w:r>
    </w:p>
    <w:p w14:paraId="499E2A12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Запись компенсирующих мер, принятия риска и комментариев.</w:t>
      </w:r>
    </w:p>
    <w:p w14:paraId="53C0C157" w14:textId="77777777" w:rsidR="006510AF" w:rsidRPr="00883A3A" w:rsidRDefault="00000000" w:rsidP="00883A3A">
      <w:pPr>
        <w:spacing w:before="140" w:after="80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b/>
          <w:bCs/>
          <w:sz w:val="24"/>
          <w:szCs w:val="24"/>
        </w:rPr>
        <w:t>4.6. Отчёты и уведомления</w:t>
      </w:r>
    </w:p>
    <w:p w14:paraId="24C6076A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Отчёты XLSX и DOCX/PDF на русском языке: сводка по критичности, перечень уязвимостей, сравнение с предыдущей оценкой.</w:t>
      </w:r>
    </w:p>
    <w:p w14:paraId="5C173B0F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Уведомления о новых бюллетенях, затрагивающих активы из реестра.</w:t>
      </w:r>
    </w:p>
    <w:p w14:paraId="02418838" w14:textId="77777777" w:rsidR="006510AF" w:rsidRPr="00883A3A" w:rsidRDefault="00000000" w:rsidP="00883A3A">
      <w:pPr>
        <w:pStyle w:val="2"/>
        <w:spacing w:before="240" w:after="1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83A3A">
        <w:rPr>
          <w:rFonts w:ascii="Times New Roman" w:hAnsi="Times New Roman" w:cs="Times New Roman"/>
          <w:b/>
          <w:bCs/>
          <w:color w:val="auto"/>
          <w:sz w:val="24"/>
          <w:szCs w:val="24"/>
        </w:rPr>
        <w:t>5. Нефункциональные требования</w:t>
      </w:r>
    </w:p>
    <w:p w14:paraId="271370B0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Развёртывание у пользователя (виртуальная машина или контейнер); работа без доступа в интернет при офлайн-обновлении баз.</w:t>
      </w:r>
    </w:p>
    <w:p w14:paraId="2FD6C717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Данные реестров хранятся только у пользователя и не передаются третьим лицам.</w:t>
      </w:r>
    </w:p>
    <w:p w14:paraId="5DA07BD8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Сервис не выполняет сетевых подключений к оцениваемым активам.</w:t>
      </w:r>
    </w:p>
    <w:p w14:paraId="70BBFA0A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Ролевая модель доступа и журнал действий пользователей.</w:t>
      </w:r>
    </w:p>
    <w:p w14:paraId="76743309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Интерфейс на русском языке; казахский — желательно.</w:t>
      </w:r>
    </w:p>
    <w:p w14:paraId="62D6E591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Обработка реестра не менее 5 000 записей; отчёт по 1 000 активов — не более 5 минут.</w:t>
      </w:r>
    </w:p>
    <w:p w14:paraId="6931CAE8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Учёт требований ЕТ № 832 к разрабатываемому ПО (гл. 3 §2); контроль уязвимостей в используемых компонентах.</w:t>
      </w:r>
    </w:p>
    <w:p w14:paraId="36422150" w14:textId="77777777" w:rsidR="006510AF" w:rsidRPr="00883A3A" w:rsidRDefault="00000000" w:rsidP="00883A3A">
      <w:pPr>
        <w:pStyle w:val="2"/>
        <w:spacing w:before="240" w:after="1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83A3A">
        <w:rPr>
          <w:rFonts w:ascii="Times New Roman" w:hAnsi="Times New Roman" w:cs="Times New Roman"/>
          <w:b/>
          <w:bCs/>
          <w:color w:val="auto"/>
          <w:sz w:val="24"/>
          <w:szCs w:val="24"/>
        </w:rPr>
        <w:t>6. Этапы</w:t>
      </w:r>
    </w:p>
    <w:p w14:paraId="2204DDA5" w14:textId="77777777" w:rsidR="006510AF" w:rsidRPr="00883A3A" w:rsidRDefault="00000000" w:rsidP="00883A3A">
      <w:pPr>
        <w:pStyle w:val="a4"/>
        <w:numPr>
          <w:ilvl w:val="0"/>
          <w:numId w:val="3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Прототип: импорт реестра, сопоставление с бюллетенями Siemens (CSAF), выгрузка XLSX.</w:t>
      </w:r>
    </w:p>
    <w:p w14:paraId="2FB7C5C7" w14:textId="77777777" w:rsidR="006510AF" w:rsidRPr="00883A3A" w:rsidRDefault="00000000" w:rsidP="00883A3A">
      <w:pPr>
        <w:pStyle w:val="a4"/>
        <w:numPr>
          <w:ilvl w:val="0"/>
          <w:numId w:val="3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MVP: CISA ICS и NVD, приоритизация, отчёт DOCX/PDF, офлайн-обновление баз.</w:t>
      </w:r>
    </w:p>
    <w:p w14:paraId="382B3E08" w14:textId="77777777" w:rsidR="006510AF" w:rsidRPr="00883A3A" w:rsidRDefault="00000000" w:rsidP="00883A3A">
      <w:pPr>
        <w:pStyle w:val="a4"/>
        <w:numPr>
          <w:ilvl w:val="0"/>
          <w:numId w:val="3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lastRenderedPageBreak/>
        <w:t>Пилот на обезличенном реестре реального объекта и доработка по результатам.</w:t>
      </w:r>
    </w:p>
    <w:p w14:paraId="6DF79178" w14:textId="77777777" w:rsidR="006510AF" w:rsidRPr="00883A3A" w:rsidRDefault="00000000" w:rsidP="00883A3A">
      <w:pPr>
        <w:pStyle w:val="2"/>
        <w:spacing w:before="240" w:after="1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83A3A">
        <w:rPr>
          <w:rFonts w:ascii="Times New Roman" w:hAnsi="Times New Roman" w:cs="Times New Roman"/>
          <w:b/>
          <w:bCs/>
          <w:color w:val="auto"/>
          <w:sz w:val="24"/>
          <w:szCs w:val="24"/>
        </w:rPr>
        <w:t>7. Критерии приёмки</w:t>
      </w:r>
    </w:p>
    <w:p w14:paraId="4D949D42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На тестовом наборе Devix 04 не менее 95% записей с известными бюллетенями сопоставлены корректно; неоднозначные сопоставления помечены для проверки.</w:t>
      </w:r>
    </w:p>
    <w:p w14:paraId="5961BFC5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Отчёт содержит все поля п. 4.4 и ссылки на первоисточники.</w:t>
      </w:r>
    </w:p>
    <w:p w14:paraId="1606DDC2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Сервис работает в изолированной среде с офлайн-обновлением баз.</w:t>
      </w:r>
    </w:p>
    <w:p w14:paraId="20761240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Переданы дистрибутив, инструкция по развёртыванию и исходный код — по согласованной модели прав.</w:t>
      </w:r>
    </w:p>
    <w:p w14:paraId="6CA6F29F" w14:textId="77777777" w:rsidR="006510AF" w:rsidRPr="00883A3A" w:rsidRDefault="00000000" w:rsidP="00883A3A">
      <w:pPr>
        <w:pStyle w:val="2"/>
        <w:spacing w:before="240" w:after="1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83A3A">
        <w:rPr>
          <w:rFonts w:ascii="Times New Roman" w:hAnsi="Times New Roman" w:cs="Times New Roman"/>
          <w:b/>
          <w:bCs/>
          <w:color w:val="auto"/>
          <w:sz w:val="24"/>
          <w:szCs w:val="24"/>
        </w:rPr>
        <w:t>8. Формат взаимодействия</w:t>
      </w:r>
    </w:p>
    <w:p w14:paraId="5BB6A1A4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Devix 04 предоставляет экспертизу по ИБ АСУ ТП и ЕТ № 832, обезличенные тестовые данные и участвует в пилоте.</w:t>
      </w:r>
    </w:p>
    <w:p w14:paraId="0863EF5E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Исполнитель выполняет разработку и сопровождает пилот.</w:t>
      </w:r>
    </w:p>
    <w:p w14:paraId="7CE29401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Права на результат, форма и размер вознаграждения — по карточке задачи и договорённости сторон.</w:t>
      </w:r>
    </w:p>
    <w:p w14:paraId="1B54E6AC" w14:textId="77777777" w:rsidR="006510AF" w:rsidRPr="00883A3A" w:rsidRDefault="00000000" w:rsidP="00883A3A">
      <w:pPr>
        <w:pStyle w:val="a4"/>
        <w:numPr>
          <w:ilvl w:val="0"/>
          <w:numId w:val="2"/>
        </w:numPr>
        <w:spacing w:after="80" w:line="29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>Реальные данные объектов передаются только при необходимости, в обезличенном виде и после подписания NDA.</w:t>
      </w:r>
    </w:p>
    <w:sectPr w:rsidR="006510AF" w:rsidRPr="00883A3A" w:rsidSect="00883A3A">
      <w:pgSz w:w="11906" w:h="16838"/>
      <w:pgMar w:top="1134" w:right="707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1E1DA5"/>
    <w:multiLevelType w:val="hybridMultilevel"/>
    <w:tmpl w:val="D9288FA6"/>
    <w:lvl w:ilvl="0" w:tplc="4E906522">
      <w:start w:val="1"/>
      <w:numFmt w:val="bullet"/>
      <w:lvlText w:val="•"/>
      <w:lvlJc w:val="left"/>
      <w:pPr>
        <w:ind w:left="540" w:hanging="270"/>
      </w:pPr>
    </w:lvl>
    <w:lvl w:ilvl="1" w:tplc="507E7930">
      <w:numFmt w:val="decimal"/>
      <w:lvlText w:val=""/>
      <w:lvlJc w:val="left"/>
    </w:lvl>
    <w:lvl w:ilvl="2" w:tplc="BF0E0786">
      <w:numFmt w:val="decimal"/>
      <w:lvlText w:val=""/>
      <w:lvlJc w:val="left"/>
    </w:lvl>
    <w:lvl w:ilvl="3" w:tplc="1A3A8B22">
      <w:numFmt w:val="decimal"/>
      <w:lvlText w:val=""/>
      <w:lvlJc w:val="left"/>
    </w:lvl>
    <w:lvl w:ilvl="4" w:tplc="0A5CE4D8">
      <w:numFmt w:val="decimal"/>
      <w:lvlText w:val=""/>
      <w:lvlJc w:val="left"/>
    </w:lvl>
    <w:lvl w:ilvl="5" w:tplc="EDF6B946">
      <w:numFmt w:val="decimal"/>
      <w:lvlText w:val=""/>
      <w:lvlJc w:val="left"/>
    </w:lvl>
    <w:lvl w:ilvl="6" w:tplc="3934FDB2">
      <w:numFmt w:val="decimal"/>
      <w:lvlText w:val=""/>
      <w:lvlJc w:val="left"/>
    </w:lvl>
    <w:lvl w:ilvl="7" w:tplc="48369C54">
      <w:numFmt w:val="decimal"/>
      <w:lvlText w:val=""/>
      <w:lvlJc w:val="left"/>
    </w:lvl>
    <w:lvl w:ilvl="8" w:tplc="E1586732">
      <w:numFmt w:val="decimal"/>
      <w:lvlText w:val=""/>
      <w:lvlJc w:val="left"/>
    </w:lvl>
  </w:abstractNum>
  <w:abstractNum w:abstractNumId="1" w15:restartNumberingAfterBreak="0">
    <w:nsid w:val="2DA262BC"/>
    <w:multiLevelType w:val="hybridMultilevel"/>
    <w:tmpl w:val="04CE9E24"/>
    <w:lvl w:ilvl="0" w:tplc="4EEE544A">
      <w:start w:val="1"/>
      <w:numFmt w:val="decimal"/>
      <w:lvlText w:val="%1)"/>
      <w:lvlJc w:val="left"/>
      <w:pPr>
        <w:ind w:left="540" w:hanging="300"/>
      </w:pPr>
    </w:lvl>
    <w:lvl w:ilvl="1" w:tplc="18389382">
      <w:numFmt w:val="decimal"/>
      <w:lvlText w:val=""/>
      <w:lvlJc w:val="left"/>
    </w:lvl>
    <w:lvl w:ilvl="2" w:tplc="83A4B5D0">
      <w:numFmt w:val="decimal"/>
      <w:lvlText w:val=""/>
      <w:lvlJc w:val="left"/>
    </w:lvl>
    <w:lvl w:ilvl="3" w:tplc="734A7DB4">
      <w:numFmt w:val="decimal"/>
      <w:lvlText w:val=""/>
      <w:lvlJc w:val="left"/>
    </w:lvl>
    <w:lvl w:ilvl="4" w:tplc="FF202230">
      <w:numFmt w:val="decimal"/>
      <w:lvlText w:val=""/>
      <w:lvlJc w:val="left"/>
    </w:lvl>
    <w:lvl w:ilvl="5" w:tplc="E90C04B6">
      <w:numFmt w:val="decimal"/>
      <w:lvlText w:val=""/>
      <w:lvlJc w:val="left"/>
    </w:lvl>
    <w:lvl w:ilvl="6" w:tplc="35C8B816">
      <w:numFmt w:val="decimal"/>
      <w:lvlText w:val=""/>
      <w:lvlJc w:val="left"/>
    </w:lvl>
    <w:lvl w:ilvl="7" w:tplc="B7F26464">
      <w:numFmt w:val="decimal"/>
      <w:lvlText w:val=""/>
      <w:lvlJc w:val="left"/>
    </w:lvl>
    <w:lvl w:ilvl="8" w:tplc="B48251B4">
      <w:numFmt w:val="decimal"/>
      <w:lvlText w:val=""/>
      <w:lvlJc w:val="left"/>
    </w:lvl>
  </w:abstractNum>
  <w:abstractNum w:abstractNumId="2" w15:restartNumberingAfterBreak="0">
    <w:nsid w:val="48064809"/>
    <w:multiLevelType w:val="hybridMultilevel"/>
    <w:tmpl w:val="6E96C920"/>
    <w:lvl w:ilvl="0" w:tplc="8A2ADD68">
      <w:start w:val="1"/>
      <w:numFmt w:val="bullet"/>
      <w:lvlText w:val="●"/>
      <w:lvlJc w:val="left"/>
      <w:pPr>
        <w:ind w:left="720" w:hanging="360"/>
      </w:pPr>
    </w:lvl>
    <w:lvl w:ilvl="1" w:tplc="9DF426C0">
      <w:start w:val="1"/>
      <w:numFmt w:val="bullet"/>
      <w:lvlText w:val="○"/>
      <w:lvlJc w:val="left"/>
      <w:pPr>
        <w:ind w:left="1440" w:hanging="360"/>
      </w:pPr>
    </w:lvl>
    <w:lvl w:ilvl="2" w:tplc="EBD008B4">
      <w:start w:val="1"/>
      <w:numFmt w:val="bullet"/>
      <w:lvlText w:val="■"/>
      <w:lvlJc w:val="left"/>
      <w:pPr>
        <w:ind w:left="2160" w:hanging="360"/>
      </w:pPr>
    </w:lvl>
    <w:lvl w:ilvl="3" w:tplc="2808447E">
      <w:start w:val="1"/>
      <w:numFmt w:val="bullet"/>
      <w:lvlText w:val="●"/>
      <w:lvlJc w:val="left"/>
      <w:pPr>
        <w:ind w:left="2880" w:hanging="360"/>
      </w:pPr>
    </w:lvl>
    <w:lvl w:ilvl="4" w:tplc="F64661EE">
      <w:start w:val="1"/>
      <w:numFmt w:val="bullet"/>
      <w:lvlText w:val="○"/>
      <w:lvlJc w:val="left"/>
      <w:pPr>
        <w:ind w:left="3600" w:hanging="360"/>
      </w:pPr>
    </w:lvl>
    <w:lvl w:ilvl="5" w:tplc="8368C128">
      <w:start w:val="1"/>
      <w:numFmt w:val="bullet"/>
      <w:lvlText w:val="■"/>
      <w:lvlJc w:val="left"/>
      <w:pPr>
        <w:ind w:left="4320" w:hanging="360"/>
      </w:pPr>
    </w:lvl>
    <w:lvl w:ilvl="6" w:tplc="D1868670">
      <w:start w:val="1"/>
      <w:numFmt w:val="bullet"/>
      <w:lvlText w:val="●"/>
      <w:lvlJc w:val="left"/>
      <w:pPr>
        <w:ind w:left="5040" w:hanging="360"/>
      </w:pPr>
    </w:lvl>
    <w:lvl w:ilvl="7" w:tplc="10864E70">
      <w:start w:val="1"/>
      <w:numFmt w:val="bullet"/>
      <w:lvlText w:val="●"/>
      <w:lvlJc w:val="left"/>
      <w:pPr>
        <w:ind w:left="5760" w:hanging="360"/>
      </w:pPr>
    </w:lvl>
    <w:lvl w:ilvl="8" w:tplc="AC98B170">
      <w:start w:val="1"/>
      <w:numFmt w:val="bullet"/>
      <w:lvlText w:val="●"/>
      <w:lvlJc w:val="left"/>
      <w:pPr>
        <w:ind w:left="6480" w:hanging="360"/>
      </w:pPr>
    </w:lvl>
  </w:abstractNum>
  <w:num w:numId="1" w16cid:durableId="75519414">
    <w:abstractNumId w:val="2"/>
    <w:lvlOverride w:ilvl="0">
      <w:startOverride w:val="1"/>
    </w:lvlOverride>
  </w:num>
  <w:num w:numId="2" w16cid:durableId="1721132373">
    <w:abstractNumId w:val="0"/>
    <w:lvlOverride w:ilvl="0">
      <w:startOverride w:val="1"/>
    </w:lvlOverride>
  </w:num>
  <w:num w:numId="3" w16cid:durableId="214442125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0AF"/>
    <w:rsid w:val="0034126B"/>
    <w:rsid w:val="006510AF"/>
    <w:rsid w:val="0088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7E652B"/>
  <w15:docId w15:val="{117DF536-E14D-4A44-8BA1-EEAAAD08A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-KZ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598</Words>
  <Characters>4044</Characters>
  <Application>Microsoft Office Word</Application>
  <DocSecurity>0</DocSecurity>
  <Lines>94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Devix 04</dc:creator>
  <cp:keywords/>
  <dc:description/>
  <cp:lastModifiedBy>ASM</cp:lastModifiedBy>
  <cp:revision>2</cp:revision>
  <dcterms:created xsi:type="dcterms:W3CDTF">2026-10-21T05:49:00Z</dcterms:created>
  <dcterms:modified xsi:type="dcterms:W3CDTF">2026-10-21T05:53:00Z</dcterms:modified>
  <cp:category/>
</cp:coreProperties>
</file>