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Техническое задание</w:t>
      </w:r>
    </w:p>
    <w:p>
      <w:r>
        <w:rPr>
          <w:b/>
        </w:rPr>
        <w:t xml:space="preserve">Технология быстрого 3D-сканирования промышленного оборудования для создания VR-тренажёров</w:t>
      </w:r>
    </w:p>
    <w:p>
      <w:r>
        <w:t xml:space="preserve">Заказчик: ТОО «СиЭй Консалтинг Групп» (CACG)</w:t>
      </w:r>
    </w:p>
    <w:p>
      <w:r>
        <w:rPr>
          <w:b/>
        </w:rPr>
        <w:t xml:space="preserve">1. Цель</w:t>
      </w:r>
    </w:p>
    <w:p>
      <w:r>
        <w:t xml:space="preserve">Получить решение для быстрого создания точных 3D-моделей промышленного оборудования (горная и карьерная техника, установки, щиты управления) методами лазерного сканирования и/или фотограмметрии для использования в VR-тренажёрах.</w:t>
      </w:r>
    </w:p>
    <w:p>
      <w:r>
        <w:rPr>
          <w:b/>
        </w:rPr>
        <w:t xml:space="preserve">2. Проблема</w:t>
      </w:r>
    </w:p>
    <w:p>
      <w:r>
        <w:t xml:space="preserve">Производители оборудования, как правило, не передают заказчику чертежи и 3D-модели. Для создания VR-тренажёра оборудование приходится сканировать вручную со всех сторон, что требует много времени, остановки техники и дорогой постобработки.</w:t>
      </w:r>
    </w:p>
    <w:p>
      <w:r>
        <w:rPr>
          <w:b/>
        </w:rPr>
        <w:t xml:space="preserve">3. Требования к решению</w:t>
      </w:r>
    </w:p>
    <w:p>
      <w:r>
        <w:t xml:space="preserve">3.1. Сохранение масштаба и геометрической точности (ориентир — погрешность не более 5 мм для органов управления).</w:t>
      </w:r>
    </w:p>
    <w:p>
      <w:r>
        <w:t xml:space="preserve">3.2. Сканирование крупногабаритной техники на объекте заказчика с минимальным временем простоя.</w:t>
      </w:r>
    </w:p>
    <w:p>
      <w:r>
        <w:t xml:space="preserve">3.3. Автоматизированная постобработка: очистка облака точек, построение и упрощение сетки, текстурирование.</w:t>
      </w:r>
    </w:p>
    <w:p>
      <w:r>
        <w:t xml:space="preserve">3.4. Экспорт в форматы FBX/OBJ/glTF для Unity и Unreal Engine; оптимизация полигональности под VR-гарнитуры.</w:t>
      </w:r>
    </w:p>
    <w:p>
      <w:r>
        <w:t xml:space="preserve">3.5. Возможность выделения подвижных элементов (рычаги, кнопки, двери) для последующей анимации.</w:t>
      </w:r>
    </w:p>
    <w:p>
      <w:r>
        <w:rPr>
          <w:b/>
        </w:rPr>
        <w:t xml:space="preserve">4. Ожидаемый результат</w:t>
      </w:r>
    </w:p>
    <w:p>
      <w:r>
        <w:t xml:space="preserve">Сокращение сроков и стоимости разработки VR-тренажёров, уменьшение простоя оборудования при сканировании, точные цифровые копии техники для обучения персонала и цифровых двойников.</w:t>
      </w:r>
    </w:p>
    <w:p>
      <w:r>
        <w:rPr>
          <w:b/>
        </w:rPr>
        <w:t xml:space="preserve">5. Формат взаимодействия</w:t>
      </w:r>
    </w:p>
    <w:p>
      <w:r>
        <w:t xml:space="preserve">Статус: идея. Вознаграждение — по договорённости. Контакт: Мусин Адилхан, adilkhan.mussin@cacg.kz</w:t>
      </w:r>
    </w:p>
    <w:sectPr/>
  </w:body>
</w:document>
</file>