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ТЕХНИЧЕСКОЕ ЗАДАНИЕ</w:t>
      </w:r>
    </w:p>
    <w:p>
      <w:pPr>
        <w:pStyle w:val="Subtitle"/>
      </w:pPr>
      <w:r>
        <w:t>Разработка модуля ИИ-помощников</w:t>
        <w:br/>
        <w:t>платформы Smartdepo</w:t>
      </w:r>
    </w:p>
    <w:p>
      <w:r>
        <w:rPr>
          <w:sz w:val="19"/>
        </w:rPr>
        <w:t>Для внешнего исполнителя</w:t>
      </w:r>
    </w:p>
    <w:p>
      <w:pPr>
        <w:pStyle w:val="Heading1"/>
      </w:pPr>
      <w:r>
        <w:t>1. Назначение Smartdepo и цель разработки</w:t>
      </w:r>
    </w:p>
    <w:p>
      <w:r>
        <w:t>Smartdepo — цифровая платформа управления операционной деятельностью предприятий ремонтного бизнеса. Платформа объединяет рабочие процессы, документы и показатели, которые используются сотрудниками и руководителями при выполнении и контроле ремонтных работ.</w:t>
      </w:r>
    </w:p>
    <w:p>
      <w:r>
        <w:t>Предметная область Smartdepo включает ремонтные проекты и технику, сроки и статусы работ, потребности в материалах, закупки и поставщиков, складские запасы и движение товарно-материальных ценностей, подрядные услуги, согласование и подтверждение оплат, документы, себестоимость и управленческую отчётность. Доступные в конкретной установке модули и методы интеграции фиксируются при обследовании.</w:t>
      </w:r>
    </w:p>
    <w:p>
      <w:r>
        <w:t>Smartdepo является источником операционных данных. Учётные записи, роли, организационная принадлежность, рабочие записи и бизнес-правила платформы используются модулем помощников при каждом обращении.</w:t>
      </w:r>
    </w:p>
    <w:p>
      <w:pPr>
        <w:pStyle w:val="Heading2"/>
      </w:pPr>
      <w:r>
        <w:t>1.1. Цель разработки</w:t>
      </w:r>
    </w:p>
    <w:p>
      <w:r>
        <w:t>Разработать встроенный модуль, через который сотрудники и руководители получают ответы по данным и документам Smartdepo, анализируют рабочие ситуации, готовят решения и выполняют согласованные операции. Развитие модуля охватывает поддержку управления, контроль исполнения и повседневные задачи сотрудников.</w:t>
      </w:r>
    </w:p>
    <w:p>
      <w:pPr>
        <w:pStyle w:val="Heading2"/>
      </w:pPr>
      <w:r>
        <w:t>1.2. Основные понятия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098"/>
        <w:gridCol w:w="7654"/>
      </w:tblGrid>
      <w:tr>
        <w:trPr>
          <w:cantSplit/>
          <w:tblHeader/>
        </w:trPr>
        <w:tc>
          <w:tcPr>
            <w:tcW w:type="dxa" w:w="209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Понятие</w:t>
            </w:r>
          </w:p>
        </w:tc>
        <w:tc>
          <w:tcPr>
            <w:tcW w:type="dxa" w:w="7654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Профильный помощник</w:t>
            </w:r>
          </w:p>
        </w:tc>
        <w:tc>
          <w:tcPr>
            <w:tcW w:type="dxa" w:w="765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Конфигурация для одного из пяти направлений: назначение, инструкции, инструменты, источники и правила ответа.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Агент</w:t>
            </w:r>
          </w:p>
        </w:tc>
        <w:tc>
          <w:tcPr>
            <w:tcW w:type="dxa" w:w="765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Серверный исполнитель задания помощника, который обращается к модели и вызывает разрешённые функции Smartdepo.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Координатор</w:t>
            </w:r>
          </w:p>
        </w:tc>
        <w:tc>
          <w:tcPr>
            <w:tcW w:type="dxa" w:w="765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Помощник для составных задач: распределяет подзадачи между профильными помощниками и формирует общий результат.</w:t>
            </w:r>
          </w:p>
        </w:tc>
      </w:tr>
      <w:tr>
        <w:trPr>
          <w:cantSplit/>
        </w:trPr>
        <w:tc>
          <w:tcPr>
            <w:tcW w:type="dxa" w:w="209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Smartdepo Center Bot</w:t>
            </w:r>
          </w:p>
        </w:tc>
        <w:tc>
          <w:tcPr>
            <w:tcW w:type="dxa" w:w="765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Продукт экосистемы и дополнительный канал взаимодействия. В рамках ТЗ подключается к общему серверному модулю помощников.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t>Организационная модель разработки: «Группа компаний → Компании». Предусмотреть работу нескольких групп, каждой с собственным составом компаний и настройками доступа.</w:t>
      </w:r>
    </w:p>
    <w:p>
      <w:r>
        <w:br w:type="page"/>
      </w:r>
    </w:p>
    <w:p>
      <w:pPr>
        <w:pStyle w:val="Heading1"/>
      </w:pPr>
      <w:r>
        <w:t>2. Состав разработки и порядок поставки</w:t>
      </w:r>
    </w:p>
    <w:p>
      <w:r>
        <w:t>Объём организовать в самостоятельные очереди с отдельными результатами и приёмкой. Базовая очередь формирует рабочую систему пяти профильных помощников. Последующие очереди расширяют способы запуска и выполнения задач.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1587"/>
        <w:gridCol w:w="4195"/>
        <w:gridCol w:w="3969"/>
      </w:tblGrid>
      <w:tr>
        <w:trPr>
          <w:cantSplit/>
          <w:tblHeader/>
        </w:trPr>
        <w:tc>
          <w:tcPr>
            <w:tcW w:type="dxa" w:w="1587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Очередь</w:t>
            </w:r>
          </w:p>
        </w:tc>
        <w:tc>
          <w:tcPr>
            <w:tcW w:type="dxa" w:w="419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Состав</w:t>
            </w:r>
          </w:p>
        </w:tc>
        <w:tc>
          <w:tcPr>
            <w:tcW w:type="dxa" w:w="3969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58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А. Профильные помощники</w:t>
            </w:r>
          </w:p>
        </w:tc>
        <w:tc>
          <w:tcPr>
            <w:tcW w:type="dxa" w:w="419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Обследование; общая серверная основа; интерфейс Smartdepo; пять профилей; доступ к данным и документам; история, источники, аудит и лимиты.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Сотрудники напрямую обращаются к выбранному помощнику в разрешённой компании или групповой области.</w:t>
            </w:r>
          </w:p>
        </w:tc>
      </w:tr>
      <w:tr>
        <w:trPr>
          <w:cantSplit/>
        </w:trPr>
        <w:tc>
          <w:tcPr>
            <w:tcW w:type="dxa" w:w="158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Б. Действия и контроль</w:t>
            </w:r>
          </w:p>
        </w:tc>
        <w:tc>
          <w:tcPr>
            <w:tcW w:type="dxa" w:w="419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Подтверждение операций; два базовых типа действий; запуск по расписанию и событиям; правила уведомлений.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Сотрудники подтверждают подготовленные действия; система выполняет установленные проверки и уведомляет ответственных.</w:t>
            </w:r>
          </w:p>
        </w:tc>
      </w:tr>
      <w:tr>
        <w:trPr>
          <w:cantSplit/>
        </w:trPr>
        <w:tc>
          <w:tcPr>
            <w:tcW w:type="dxa" w:w="158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В. Smartdepo Center Bot</w:t>
            </w:r>
          </w:p>
        </w:tc>
        <w:tc>
          <w:tcPr>
            <w:tcW w:type="dxa" w:w="419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Привязка пользователей; личные уведомления; ссылки на результаты; запросы к тем же помощникам.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Доступ через дополнительный канал с общими полномочиями и историей выполнения.</w:t>
            </w:r>
          </w:p>
        </w:tc>
      </w:tr>
      <w:tr>
        <w:trPr>
          <w:cantSplit/>
        </w:trPr>
        <w:tc>
          <w:tcPr>
            <w:tcW w:type="dxa" w:w="158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Г. Координатор</w:t>
            </w:r>
          </w:p>
        </w:tc>
        <w:tc>
          <w:tcPr>
            <w:tcW w:type="dxa" w:w="419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Распределение составных задач; вызов специалистов; объединение ответов; общий контроль ресурсов.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Общий помощник решает межфункциональные задачи. Прямое обращение к специалистам сохраняется.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2.1. Пять профильных направлений</w:t>
      </w:r>
    </w:p>
    <w:p>
      <w:r>
        <w:rPr>
          <w:b/>
        </w:rPr>
        <w:t xml:space="preserve">S-01. Конфигурация. </w:t>
      </w:r>
      <w:r>
        <w:t>Предусмотреть пять профилей с условными кодами P01–P05. Наименования и предметные сценарии закрепляются при обследовании. Общие механизмы доступа, запуска, хранения и отображения результатов используются каждым профилем.</w:t>
      </w:r>
    </w:p>
    <w:p>
      <w:r>
        <w:rPr>
          <w:b/>
        </w:rPr>
        <w:t xml:space="preserve">S-02. Предметная поставка. </w:t>
      </w:r>
      <w:r>
        <w:t>Для каждого профиля согласовать и реализовать минимум три сквозных сценария на доступных сущностях Smartdepo. Итог очереди А включает 15 предметных сценариев и контрольные примеры для каждого профиля.</w:t>
      </w:r>
    </w:p>
    <w:p>
      <w:r>
        <w:rPr>
          <w:b/>
        </w:rPr>
        <w:t xml:space="preserve">S-03. Расширяемость. </w:t>
      </w:r>
      <w:r>
        <w:t>Добавление профиля выполняется через реестр конфигураций и каталог разрешённых инструментов. Новые типы операций оформляются разработкой соответствующего серверного инструмента.</w:t>
      </w:r>
    </w:p>
    <w:p>
      <w:pPr>
        <w:pStyle w:val="Heading2"/>
      </w:pPr>
      <w:r>
        <w:t>2.2. Проектные параметры</w:t>
      </w:r>
    </w:p>
    <w:p>
      <w:r>
        <w:t>Количество сценариев, базовые действия и нагрузочный профиль в настоящем ТЗ приняты как исходный объём для оценки исполнителем. Уточнения оформляются согласованными спецификациями до реализации соответствующего этапа.</w:t>
      </w:r>
    </w:p>
    <w:p>
      <w:r>
        <w:t>Выбор модели, SDK, ресурсов размещения и параметров хранения фиксируется в архитектурных решениях. Доработки предметных модулей Smartdepo, новые внешние интеграции и дополнительные форматы обработки оформляются отдельными согласованными заданиями.</w:t>
      </w:r>
    </w:p>
    <w:p>
      <w:r>
        <w:t>После приёмки очереди А очереди Б, В и Г выполняются в согласованном порядке. Координатор для анализа может подключаться сразу к принятым профильным помощникам. Исполнение подготовленных им действий подключается вместе с очередью Б.</w:t>
      </w:r>
    </w:p>
    <w:p>
      <w:r>
        <w:br w:type="page"/>
      </w:r>
    </w:p>
    <w:p>
      <w:pPr>
        <w:pStyle w:val="Heading1"/>
      </w:pPr>
      <w:r>
        <w:t>3. Организационная модель и полномочия</w:t>
      </w:r>
    </w:p>
    <w:p>
      <w:r>
        <w:rPr>
          <w:b/>
        </w:rPr>
        <w:t xml:space="preserve">ORG-01. Область работы. </w:t>
      </w:r>
      <w:r>
        <w:t>Каждый диалог и запуск относятся к выбранной группе и области: одной компании либо разрешённому набору компаний этой группы. Выбранная область постоянно отображается пользователю.</w:t>
      </w:r>
    </w:p>
    <w:p>
      <w:r>
        <w:rPr>
          <w:b/>
        </w:rPr>
        <w:t xml:space="preserve">ORG-02. Проверенный контекст. </w:t>
      </w:r>
      <w:r>
        <w:t>Сервер формирует контекст из действующей учётной записи, организационных связей и полномочий. Переданный клиентом идентификатор компании используется как селектор для проверки доступа. Принцип согласуется с рекомендациями OWASP по многоклиентским системам [1].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891"/>
        <w:gridCol w:w="6860"/>
      </w:tblGrid>
      <w:tr>
        <w:trPr>
          <w:cantSplit/>
          <w:tblHeader/>
        </w:trPr>
        <w:tc>
          <w:tcPr>
            <w:tcW w:type="dxa" w:w="2891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Участник</w:t>
            </w:r>
          </w:p>
        </w:tc>
        <w:tc>
          <w:tcPr>
            <w:tcW w:type="dxa" w:w="6860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Предусматриваемые возможности</w:t>
            </w:r>
          </w:p>
        </w:tc>
      </w:tr>
      <w:tr>
        <w:trPr>
          <w:cantSplit/>
        </w:trPr>
        <w:tc>
          <w:tcPr>
            <w:tcW w:type="dxa" w:w="289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Сотрудник компании</w:t>
            </w:r>
          </w:p>
        </w:tc>
        <w:tc>
          <w:tcPr>
            <w:tcW w:type="dxa" w:w="686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Работа с назначенными помощниками и доступными объектами; личные диалоги; просмотр своих заданий и предложений.</w:t>
            </w:r>
          </w:p>
        </w:tc>
      </w:tr>
      <w:tr>
        <w:trPr>
          <w:cantSplit/>
        </w:trPr>
        <w:tc>
          <w:tcPr>
            <w:tcW w:type="dxa" w:w="289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Руководитель компании</w:t>
            </w:r>
          </w:p>
        </w:tc>
        <w:tc>
          <w:tcPr>
            <w:tcW w:type="dxa" w:w="686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Анализ компании и подтверждение действий в пределах действующих полномочий.</w:t>
            </w:r>
          </w:p>
        </w:tc>
      </w:tr>
      <w:tr>
        <w:trPr>
          <w:cantSplit/>
        </w:trPr>
        <w:tc>
          <w:tcPr>
            <w:tcW w:type="dxa" w:w="289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Руководитель группы</w:t>
            </w:r>
          </w:p>
        </w:tc>
        <w:tc>
          <w:tcPr>
            <w:tcW w:type="dxa" w:w="686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Разрешённые сводные показатели по выбранным компаниям; отдельные полномочия на первичные записи и документы.</w:t>
            </w:r>
          </w:p>
        </w:tc>
      </w:tr>
      <w:tr>
        <w:trPr>
          <w:cantSplit/>
        </w:trPr>
        <w:tc>
          <w:tcPr>
            <w:tcW w:type="dxa" w:w="289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Администратор компании / группы</w:t>
            </w:r>
          </w:p>
        </w:tc>
        <w:tc>
          <w:tcPr>
            <w:tcW w:type="dxa" w:w="686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Включение профилей, назначение доступных сценариев, управление источниками и лимитами своей области.</w:t>
            </w:r>
          </w:p>
        </w:tc>
      </w:tr>
      <w:tr>
        <w:trPr>
          <w:cantSplit/>
        </w:trPr>
        <w:tc>
          <w:tcPr>
            <w:tcW w:type="dxa" w:w="289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Технический администратор</w:t>
            </w:r>
          </w:p>
        </w:tc>
        <w:tc>
          <w:tcPr>
            <w:tcW w:type="dxa" w:w="686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Настройка сервиса, моделей и инфраструктуры. Доступ к содержимому клиентских данных предоставляется отдельным полномочием и отражается в аудите.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ORG-03. Совмещение ограничений. </w:t>
      </w:r>
      <w:r>
        <w:t>Разрешение операции вычисляется по пересечению прав пользователя, выбранной области, возможностей профиля и политики инструмента. Для подразделений, складов, проектов и полей сохраняются действующие ограничения Smartdepo.</w:t>
      </w:r>
    </w:p>
    <w:p>
      <w:r>
        <w:rPr>
          <w:b/>
        </w:rPr>
        <w:t xml:space="preserve">ORG-04. Сводка и детализация. </w:t>
      </w:r>
      <w:r>
        <w:t>Предусмотреть раздельные разрешения на групповые показатели и исходные документы. Сводные инструменты возвращают согласованные агрегаты; детализация предоставляется после объектной проверки.</w:t>
      </w:r>
    </w:p>
    <w:p>
      <w:r>
        <w:rPr>
          <w:b/>
        </w:rPr>
        <w:t xml:space="preserve">ORG-05. Наследование настроек. </w:t>
      </w:r>
      <w:r>
        <w:t>Платформа задаёт базовые профили и обязательные политики. Группа и компания уточняют включённые сценарии, документы, ответственных и лимиты в пределах своих полномочий.</w:t>
      </w:r>
    </w:p>
    <w:p>
      <w:r>
        <w:rPr>
          <w:b/>
        </w:rPr>
        <w:t xml:space="preserve">ORG-06. Изменение полномочий. </w:t>
      </w:r>
      <w:r>
        <w:t>Повторно проверять доступ при запуске из очереди, вызове инструмента, подтверждении, исполнении и открытии результата. Изменение прав или состава группы вызывает пересмотр доступности истории, документов, кэшей и автоматизаций.</w:t>
      </w:r>
    </w:p>
    <w:p>
      <w:r>
        <w:rPr>
          <w:b/>
        </w:rPr>
        <w:t xml:space="preserve">ORG-07. Действующие роли. </w:t>
      </w:r>
      <w:r>
        <w:t>Функциональные разрешения модуля сопоставить действующим ролям Smartdepo. Матрица должна охватывать использование помощников, групповые сводки, согласования, настройки, документы и аудит.</w:t>
      </w:r>
    </w:p>
    <w:p>
      <w:r>
        <w:br w:type="page"/>
      </w:r>
    </w:p>
    <w:p>
      <w:pPr>
        <w:pStyle w:val="Heading1"/>
      </w:pPr>
      <w:r>
        <w:t>4. Пользовательский интерфейс</w:t>
      </w:r>
    </w:p>
    <w:p>
      <w:pPr>
        <w:pStyle w:val="Heading2"/>
      </w:pPr>
      <w:r>
        <w:t>4.1. Раздел «Помощники»</w:t>
      </w:r>
    </w:p>
    <w:p>
      <w:r>
        <w:rPr>
          <w:b/>
        </w:rPr>
        <w:t xml:space="preserve">UI-01. Вход и выбор. </w:t>
      </w:r>
      <w:r>
        <w:t>Использовать существующую авторизацию Smartdepo. Показывать доступные профили с назначением, примерами запросов и выбранной областью. При подключении координатора добавить карточку «Общий помощник».</w:t>
      </w:r>
    </w:p>
    <w:p>
      <w:r>
        <w:rPr>
          <w:b/>
        </w:rPr>
        <w:t xml:space="preserve">UI-02. Рабочие представления. </w:t>
      </w:r>
      <w:r>
        <w:t>Реализовать представления «Диалоги», «Задания» и «На подтверждение». Для списков предусмотреть поиск, фильтры по профилю, компании, периоду и статусу, а также постраничную загрузку.</w:t>
      </w:r>
    </w:p>
    <w:p>
      <w:r>
        <w:rPr>
          <w:b/>
        </w:rPr>
        <w:t xml:space="preserve">UI-03. Диалог. </w:t>
      </w:r>
      <w:r>
        <w:t>Поддержать отправку сообщения, уточняющие вопросы, ссылки на записи и документы, просмотр истории, переименование и архивирование диалога. Длинная обработка отображается как задание с текущим состоянием.</w:t>
      </w:r>
    </w:p>
    <w:p>
      <w:r>
        <w:rPr>
          <w:b/>
        </w:rPr>
        <w:t xml:space="preserve">UI-04. Смена области. </w:t>
      </w:r>
      <w:r>
        <w:t>При переключении компании открывать её список диалогов. Для продолжения работы в другой области создавать отдельный диалог с новым проверенным контекстом.</w:t>
      </w:r>
    </w:p>
    <w:p>
      <w:pPr>
        <w:pStyle w:val="Heading2"/>
      </w:pPr>
      <w:r>
        <w:t>4.2. Контекстная панель в Smartdepo</w:t>
      </w:r>
    </w:p>
    <w:p>
      <w:r>
        <w:rPr>
          <w:b/>
        </w:rPr>
        <w:t xml:space="preserve">UI-05. Обращение из объекта. </w:t>
      </w:r>
      <w:r>
        <w:t>Добавить действие «Спросить помощника» в согласованные карточки и списки. Панель использует текущий объект и фильтры. Прикреплённый объект отображается в запросе; пользователь может изменить выбранные ссылки.</w:t>
      </w:r>
    </w:p>
    <w:p>
      <w:r>
        <w:rPr>
          <w:b/>
        </w:rPr>
        <w:t xml:space="preserve">UI-06. Получение данных. </w:t>
      </w:r>
      <w:r>
        <w:t>Клиент передаёт ссылки на объекты. Сервер получает актуальные разрешённые поля через прикладные сервисы и фиксирует время получения данных.</w:t>
      </w:r>
    </w:p>
    <w:p>
      <w:pPr>
        <w:pStyle w:val="Heading2"/>
      </w:pPr>
      <w:r>
        <w:t>4.3. Представление ответа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1928"/>
        <w:gridCol w:w="7824"/>
      </w:tblGrid>
      <w:tr>
        <w:trPr>
          <w:cantSplit/>
          <w:tblHeader/>
        </w:trPr>
        <w:tc>
          <w:tcPr>
            <w:tcW w:type="dxa" w:w="192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Элемент</w:t>
            </w:r>
          </w:p>
        </w:tc>
        <w:tc>
          <w:tcPr>
            <w:tcW w:type="dxa" w:w="7824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Требование</w:t>
            </w:r>
          </w:p>
        </w:tc>
      </w:tr>
      <w:tr>
        <w:trPr>
          <w:cantSplit/>
        </w:trPr>
        <w:tc>
          <w:tcPr>
            <w:tcW w:type="dxa" w:w="192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Содержание</w:t>
            </w:r>
          </w:p>
        </w:tc>
        <w:tc>
          <w:tcPr>
            <w:tcW w:type="dxa" w:w="782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Ответ на вопрос, таблица или краткий разбор. Установленные факты, интерпретации и предлагаемые действия отображаются различимо.</w:t>
            </w:r>
          </w:p>
        </w:tc>
      </w:tr>
      <w:tr>
        <w:trPr>
          <w:cantSplit/>
        </w:trPr>
        <w:tc>
          <w:tcPr>
            <w:tcW w:type="dxa" w:w="192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Основания</w:t>
            </w:r>
          </w:p>
        </w:tc>
        <w:tc>
          <w:tcPr>
            <w:tcW w:type="dxa" w:w="782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Ссылки на использованные записи и версии документов, период, время данных и перечень учтённых компаний.</w:t>
            </w:r>
          </w:p>
        </w:tc>
      </w:tr>
      <w:tr>
        <w:trPr>
          <w:cantSplit/>
        </w:trPr>
        <w:tc>
          <w:tcPr>
            <w:tcW w:type="dxa" w:w="192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Полнота</w:t>
            </w:r>
          </w:p>
        </w:tc>
        <w:tc>
          <w:tcPr>
            <w:tcW w:type="dxa" w:w="782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При частичном результате показываются обработанная часть, причина ограничения и доступное действие пользователя.</w:t>
            </w:r>
          </w:p>
        </w:tc>
      </w:tr>
      <w:tr>
        <w:trPr>
          <w:cantSplit/>
        </w:trPr>
        <w:tc>
          <w:tcPr>
            <w:tcW w:type="dxa" w:w="192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Действие</w:t>
            </w:r>
          </w:p>
        </w:tc>
        <w:tc>
          <w:tcPr>
            <w:tcW w:type="dxa" w:w="782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Карточка предложения с объектом, компанией, параметрами и ожидаемым результатом. Кнопки: изменить, подтвердить, отклонить.</w:t>
            </w:r>
          </w:p>
        </w:tc>
      </w:tr>
      <w:tr>
        <w:trPr>
          <w:cantSplit/>
        </w:trPr>
        <w:tc>
          <w:tcPr>
            <w:tcW w:type="dxa" w:w="192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Обратная связь</w:t>
            </w:r>
          </w:p>
        </w:tc>
        <w:tc>
          <w:tcPr>
            <w:tcW w:type="dxa" w:w="782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Оценка полезности и комментарий по ошибке, связанные с запуском, версией профиля и использованными источниками.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UI-07. Оформление результата. </w:t>
      </w:r>
      <w:r>
        <w:t>Предусмотреть сохранение выбранного результата как отчёта или документа Smartdepo с автором, областью, источниками и ссылкой на запуск. Экспорт выполняется штатным механизмом платформы после проверки доступа.</w:t>
      </w:r>
    </w:p>
    <w:p>
      <w:r>
        <w:t>Интерфейс следует дизайн-системе Smartdepo. Базовый язык — русский; строки включаются в действующий механизм локализации. Основные действия доступны с клавиатуры; статусы сопровождаются текстом.</w:t>
      </w:r>
    </w:p>
    <w:p>
      <w:r>
        <w:br w:type="page"/>
      </w:r>
    </w:p>
    <w:p>
      <w:pPr>
        <w:pStyle w:val="Heading1"/>
      </w:pPr>
      <w:r>
        <w:t>5. Диалоги, задания и состояния выполнения</w:t>
      </w:r>
    </w:p>
    <w:p>
      <w:r>
        <w:rPr>
          <w:b/>
        </w:rPr>
        <w:t xml:space="preserve">RUN-01. Надёжный приём. </w:t>
      </w:r>
      <w:r>
        <w:t>Сообщение и задание сохраняются в базе до подтверждения приёма клиенту. Клиент получает идентификатор запуска run_id. Повтор отправки с тем же request_id возвращает тот же запуск.</w:t>
      </w:r>
    </w:p>
    <w:p>
      <w:r>
        <w:rPr>
          <w:b/>
        </w:rPr>
        <w:t xml:space="preserve">RUN-02. Выполнение. </w:t>
      </w:r>
      <w:r>
        <w:t>Длительные задания выполняет отдельный серверный процесс. Пользователь может закрыть вкладку и позднее открыть сохранённое состояние в Smartdepo.</w:t>
      </w:r>
    </w:p>
    <w:p>
      <w:r>
        <w:rPr>
          <w:b/>
        </w:rPr>
        <w:t xml:space="preserve">RUN-03. Восстановление просмотра. </w:t>
      </w:r>
      <w:r>
        <w:t>Обновления доставляются через авторизованный поток событий. После разрыва соединения клиент получает текущее состояние и продолжает отображение с последнего подтверждённого события.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3402"/>
        <w:gridCol w:w="6350"/>
      </w:tblGrid>
      <w:tr>
        <w:trPr>
          <w:cantSplit/>
          <w:tblHeader/>
        </w:trPr>
        <w:tc>
          <w:tcPr>
            <w:tcW w:type="dxa" w:w="3402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Состояние</w:t>
            </w:r>
          </w:p>
        </w:tc>
        <w:tc>
          <w:tcPr>
            <w:tcW w:type="dxa" w:w="6350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Значение и отображение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queued — в очереди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Задание надёжно сохранено и ожидает исполнения.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running — выполняется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Идёт получение данных, вызов модели или обработка результата.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waiting_approval — на подтверждении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Подготовлено конкретное действие; продолжение зависит от решения уполномоченного сотрудника.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completed — завершено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Результат и ссылки на выполненные операции сохранены.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partial — частично выполнено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Сохранена обработанная часть и причины ограничений.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failed — ошибка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Сохранены понятное пояснение, технический код и допустимый способ повторения.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cancelled — остановлено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Дальнейшие шаги прекращены; интерфейс показывает фактические результаты уже выполненных операций.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RUN-04. Порядок сообщений. </w:t>
      </w:r>
      <w:r>
        <w:t>Обеспечить последовательную обработку сообщений одного диалога либо явное создание отдельных ветвей. Порядок сообщений и версий контекста должен воспроизводиться по журналу.</w:t>
      </w:r>
    </w:p>
    <w:p>
      <w:r>
        <w:rPr>
          <w:b/>
        </w:rPr>
        <w:t xml:space="preserve">RUN-05. История и доступ. </w:t>
      </w:r>
      <w:r>
        <w:t>Диалог принадлежит пользователю и области. Для продолжения диалога проверять доступность использованных источников и сохранённых сводок. При изменении доступа обновлять контекст по доступным данным либо ограничивать открытие затронутого результата.</w:t>
      </w:r>
    </w:p>
    <w:p>
      <w:r>
        <w:rPr>
          <w:b/>
        </w:rPr>
        <w:t xml:space="preserve">RUN-06. Отмена и повторы. </w:t>
      </w:r>
      <w:r>
        <w:t>Кнопка остановки завершает дальнейшую обработку. Для повторяемых шагов задать число попыток и интервалы. При спорном результате операции записи выполнять сверку состояния по идентификатору операции.</w:t>
      </w:r>
    </w:p>
    <w:p>
      <w:r>
        <w:rPr>
          <w:b/>
        </w:rPr>
        <w:t xml:space="preserve">RUN-07. Границы выполнения. </w:t>
      </w:r>
      <w:r>
        <w:t>Для каждого запуска задавать срок исполнения, число шагов, объём ответа, лимит контекста и бюджет. Достижение предела переводит задание в понятное завершающее состояние.</w:t>
      </w:r>
    </w:p>
    <w:p>
      <w:r>
        <w:t>История действий включает наблюдаемые события: постановку задачи, проверки доступа, вызовы инструментов, подтверждения и результат. Содержимое пользовательского ответа сохраняется отдельно от технической диагностики.</w:t>
      </w:r>
    </w:p>
    <w:p>
      <w:r>
        <w:br w:type="page"/>
      </w:r>
    </w:p>
    <w:p>
      <w:pPr>
        <w:pStyle w:val="Heading1"/>
      </w:pPr>
      <w:r>
        <w:t>6. Техническая архитектура и размещение</w:t>
      </w:r>
    </w:p>
    <w:p>
      <w:r>
        <w:t>Разработать общий серверный механизм для всех профилей и каналов. Фактический стек, структура репозитория и схема размещения Smartdepo фиксируются в начале работ. Ниже приведён исходный технологический вариант для оценки.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1757"/>
        <w:gridCol w:w="3515"/>
        <w:gridCol w:w="4479"/>
      </w:tblGrid>
      <w:tr>
        <w:trPr>
          <w:cantSplit/>
          <w:tblHeader/>
        </w:trPr>
        <w:tc>
          <w:tcPr>
            <w:tcW w:type="dxa" w:w="1757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Компонент</w:t>
            </w:r>
          </w:p>
        </w:tc>
        <w:tc>
          <w:tcPr>
            <w:tcW w:type="dxa" w:w="351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Исходное решение</w:t>
            </w:r>
          </w:p>
        </w:tc>
        <w:tc>
          <w:tcPr>
            <w:tcW w:type="dxa" w:w="4479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Интерфейс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Действующий frontend Smartdepo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Раздел помощников, контекстная панель, задания и согласования.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API модуля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Расширение действующего backend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Сессии, полномочия, приём запросов, выдача доступных результатов.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Исполнитель ai-worker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Отдельный процесс; Node.js / TypeScript при совместимости со стеком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Выполнение заданий, обращения к модели, вызов прикладных инструментов.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Механизм агентов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OpenAI Agents SDK для TypeScript как исходный кандидат [2]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Конфигурации профилей, структурированные ответы и вызов специалистов.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Модель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Один согласованный поставщик через серверный API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Обработка задачи и подготовка ответа по переданным разрешённым сведениям.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Очередь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Redis + BullMQ либо действующая совместимая очередь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Доставка заданий, повторы и управление параллельным выполнением.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Хранение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База и файловое хранилище Smartdepo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Профили, диалоги, запуски, документы, действия, подтверждения и аудит.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Поиск знаний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Действующий поиск либо согласованный поисковый компонент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Поиск по разрешённым версиям документов и возврат фрагментов с источниками.</w:t>
            </w:r>
          </w:p>
        </w:tc>
      </w:tr>
      <w:tr>
        <w:trPr>
          <w:cantSplit/>
        </w:trPr>
        <w:tc>
          <w:tcPr>
            <w:tcW w:type="dxa" w:w="175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Обновления интерфейса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HTTP API и SSE</w:t>
            </w:r>
          </w:p>
        </w:tc>
        <w:tc>
          <w:tcPr>
            <w:tcW w:type="dxa" w:w="447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Получение статуса и потоковое отображение событий.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6.1. Выбор технологий</w:t>
      </w:r>
    </w:p>
    <w:p>
      <w:r>
        <w:t>Исполнитель обосновывает модель и SDK по качеству контрольных ответов, времени, стоимости запроса, условиям обработки данных и сопровождению. Конкретные версии библиотек закрепляются в зависимостях. Собственные контракты запуска, доступа и результатов отделяются от форматов поставщика модели.</w:t>
      </w:r>
    </w:p>
    <w:p>
      <w:pPr>
        <w:pStyle w:val="Heading2"/>
      </w:pPr>
      <w:r>
        <w:t>6.2. Развёртывание</w:t>
      </w:r>
    </w:p>
    <w:p>
      <w:r>
        <w:t>Исполнитель и очередь размещаются с ограничениями процессора, памяти, соединений и исходящего трафика. Размещение на текущем узле либо выделенном узле выбирается по нагрузочному испытанию. Предусмотреть отдельное включение и отключение модуля с сохранением штатной работы Smartdepo.</w:t>
      </w:r>
    </w:p>
    <w:p>
      <w:r>
        <w:t>Worker обращается к прикладным сервисам через внутренний API или общий сервисный пакет с контекстом инициатора. Служебная учётная запись получает права на свои операции и состояние заданий. Ключи модели хранятся в серверном хранилище секретов.</w:t>
      </w:r>
    </w:p>
    <w:p>
      <w:r>
        <w:br w:type="page"/>
      </w:r>
    </w:p>
    <w:p>
      <w:pPr>
        <w:pStyle w:val="Heading1"/>
      </w:pPr>
      <w:r>
        <w:t>7. Серверный процесс и API</w:t>
      </w:r>
    </w:p>
    <w:p>
      <w:pPr>
        <w:pStyle w:val="Heading2"/>
      </w:pPr>
      <w:r>
        <w:t>7.1. Обработка запроса</w:t>
      </w:r>
    </w:p>
    <w:p>
      <w:r>
        <w:t>1. API проверяет сессию, область, профиль и лимиты, сохраняет сообщение, запуск и запись публикации в очередь в согласованной транзакции.</w:t>
      </w:r>
    </w:p>
    <w:p>
      <w:r>
        <w:t>2. Публикация доставляет идентификатор задания исполнителю. Worker повторно проверяет права и получает версию профиля, разрешённый контекст и ссылки на источники.</w:t>
      </w:r>
    </w:p>
    <w:p>
      <w:r>
        <w:t>3. Модель получает задачу и описания доступных инструментов. Сервер проверяет параметры каждого вызова и выполняет разрешённую прикладную функцию.</w:t>
      </w:r>
    </w:p>
    <w:p>
      <w:r>
        <w:t>4. Результаты инструментов передаются модели в установленном объёме. Сервер проверяет структуру ответа, числовые поля и соответствие ссылок фактическим источникам.</w:t>
      </w:r>
    </w:p>
    <w:p>
      <w:r>
        <w:t>5. Ответ и состояние сохраняются, после чего клиент получает событие готовности. Карточки действий проходят отдельный процесс подтверждения и исполнения.</w:t>
      </w:r>
    </w:p>
    <w:p>
      <w:pPr>
        <w:pStyle w:val="Heading2"/>
      </w:pPr>
      <w:r>
        <w:t>7.2. Минимальные маршруты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4819"/>
        <w:gridCol w:w="4932"/>
      </w:tblGrid>
      <w:tr>
        <w:trPr>
          <w:cantSplit/>
          <w:tblHeader/>
        </w:trPr>
        <w:tc>
          <w:tcPr>
            <w:tcW w:type="dxa" w:w="4819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Метод и маршрут</w:t>
            </w:r>
          </w:p>
        </w:tc>
        <w:tc>
          <w:tcPr>
            <w:tcW w:type="dxa" w:w="4932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GET /api/ai/assistants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Список доступных профилей и вариантов области.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GET /api/ai/conversations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Доступные диалоги с фильтрами и постраничной выдачей.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POST /api/ai/conversations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Создание диалога с проверенной областью.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POST /api/ai/conversations/{id}/messages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Сохранение сообщения; ответ с run_id после надёжного приёма.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GET /api/ai/runs/{id}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Состояние, доступный результат, источники и действия.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GET /api/ai/runs/{id}/events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Авторизованные события с курсором восстановления.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POST /api/ai/runs/{id}/cancel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Остановка дальнейших шагов.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POST /api/ai/actions/{id}/approve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Подтверждение конкретной версии параметров.</w:t>
            </w:r>
          </w:p>
        </w:tc>
      </w:tr>
      <w:tr>
        <w:trPr>
          <w:cantSplit/>
        </w:trPr>
        <w:tc>
          <w:tcPr>
            <w:tcW w:type="dxa" w:w="481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POST /api/ai/actions/{id}/reject</w:t>
            </w:r>
          </w:p>
        </w:tc>
        <w:tc>
          <w:tcPr>
            <w:tcW w:type="dxa" w:w="493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Отклонение предложения с комментарием.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API-01. Спецификация. </w:t>
      </w:r>
      <w:r>
        <w:t>Описать маршруты, схемы, состояния, коды ошибок, пагинацию, лимиты и примеры в OpenAPI. Конечные пути привести к соглашениям действующего проекта.</w:t>
      </w:r>
    </w:p>
    <w:p>
      <w:r>
        <w:rPr>
          <w:b/>
        </w:rPr>
        <w:t xml:space="preserve">API-02. Проверка объектов. </w:t>
      </w:r>
      <w:r>
        <w:t>Для каждого запроса проверять сессию, выбранную область, доступ к самому диалогу, запуску, документу и действию. Для cookie-сессий использовать действующую защиту от поддельных межсайтовых запросов.</w:t>
      </w:r>
    </w:p>
    <w:p>
      <w:r>
        <w:rPr>
          <w:b/>
        </w:rPr>
        <w:t xml:space="preserve">API-03. Повторная доставка. </w:t>
      </w:r>
      <w:r>
        <w:t>Применить транзакционный журнал публикации либо эквивалентный механизм. Сохранённые задания доступны для повторной публикации после восстановления очереди.</w:t>
      </w:r>
    </w:p>
    <w:p>
      <w:r>
        <w:t>Для серверных ошибок предусмотреть коды ACCESS_DENIED, VALIDATION_ERROR, LIMIT_REACHED, SOURCE_UNAVAILABLE, MODEL_UNAVAILABLE, VERSION_CONFLICT и ACTION_EXPIRED с понятными пользователю пояснениями.</w:t>
      </w:r>
    </w:p>
    <w:p>
      <w:r>
        <w:br w:type="page"/>
      </w:r>
    </w:p>
    <w:p>
      <w:pPr>
        <w:pStyle w:val="Heading1"/>
      </w:pPr>
      <w:r>
        <w:t>8. Модель данных и контракты выполнения</w:t>
      </w:r>
    </w:p>
    <w:p>
      <w:pPr>
        <w:pStyle w:val="Heading2"/>
      </w:pPr>
      <w:r>
        <w:t>8.1. Основные сущности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948"/>
        <w:gridCol w:w="6803"/>
      </w:tblGrid>
      <w:tr>
        <w:trPr>
          <w:cantSplit/>
          <w:tblHeader/>
        </w:trPr>
        <w:tc>
          <w:tcPr>
            <w:tcW w:type="dxa" w:w="294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Сущность</w:t>
            </w:r>
          </w:p>
        </w:tc>
        <w:tc>
          <w:tcPr>
            <w:tcW w:type="dxa" w:w="6803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Состав данных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Профиль и версия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Код, назначение, инструкция, инструменты, модель, схема ответа, статус публикации, контрольный набор.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Настройки области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Группа, компания, подключённые профили, источники, лимиты и разрешённые сценарии.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Диалог и сообщение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Владелец, область, профиль, порядок сообщений, ссылки на объекты и источники.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Запуск и события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run_id, request_id, parent_run_id, статус, версия политики, шаги, время, ошибки и итог.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Вызов инструмента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Инструмент и версия, инициатор, область, разрешённые параметры, статус, ссылки на результат.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Действие и подтверждение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Тип, объект, параметры, версия/хэш, подтверждающий, срок действия, ключ операции и результат.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Источник знаний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Файл, версия, контрольная сумма, владелец, права, состояние разбора и индексирования.</w:t>
            </w:r>
          </w:p>
        </w:tc>
      </w:tr>
      <w:tr>
        <w:trPr>
          <w:cantSplit/>
        </w:trPr>
        <w:tc>
          <w:tcPr>
            <w:tcW w:type="dxa" w:w="294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Автоматизация и расходы</w:t>
            </w:r>
          </w:p>
        </w:tc>
        <w:tc>
          <w:tcPr>
            <w:tcW w:type="dxa" w:w="680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Правило, владелец, триггер, область, получатели; токены, запросы, модель, стоимость и лимиты.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t>Каждая запись с корпоративными сведениями получает явную принадлежность и правила доступа. Использовать существующие справочники групп, компаний и пользователей. Связи с источниками позволяют повторно проверить доступ к производным ответам, сводкам и выгрузкам.</w:t>
      </w:r>
    </w:p>
    <w:p>
      <w:pPr>
        <w:pStyle w:val="Heading2"/>
      </w:pPr>
      <w:r>
        <w:t>8.2. Контракт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268"/>
        <w:gridCol w:w="7483"/>
      </w:tblGrid>
      <w:tr>
        <w:trPr>
          <w:cantSplit/>
          <w:tblHeader/>
        </w:trPr>
        <w:tc>
          <w:tcPr>
            <w:tcW w:type="dxa" w:w="226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Блок</w:t>
            </w:r>
          </w:p>
        </w:tc>
        <w:tc>
          <w:tcPr>
            <w:tcW w:type="dxa" w:w="7483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Обязательные сведения</w:t>
            </w:r>
          </w:p>
        </w:tc>
      </w:tr>
      <w:tr>
        <w:trPr>
          <w:cantSplit/>
        </w:trPr>
        <w:tc>
          <w:tcPr>
            <w:tcW w:type="dxa" w:w="226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Идентификация</w:t>
            </w:r>
          </w:p>
        </w:tc>
        <w:tc>
          <w:tcPr>
            <w:tcW w:type="dxa" w:w="748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assistant_id, assistant_version, conversation_id, run_id, request_id; parent_run_id для дочерней задачи.</w:t>
            </w:r>
          </w:p>
        </w:tc>
      </w:tr>
      <w:tr>
        <w:trPr>
          <w:cantSplit/>
        </w:trPr>
        <w:tc>
          <w:tcPr>
            <w:tcW w:type="dxa" w:w="226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Вход</w:t>
            </w:r>
          </w:p>
        </w:tc>
        <w:tc>
          <w:tcPr>
            <w:tcW w:type="dxa" w:w="748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Текст задачи, ссылки на объекты, фильтры, ожидаемый тип результата.</w:t>
            </w:r>
          </w:p>
        </w:tc>
      </w:tr>
      <w:tr>
        <w:trPr>
          <w:cantSplit/>
        </w:trPr>
        <w:tc>
          <w:tcPr>
            <w:tcW w:type="dxa" w:w="226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Серверный контекст</w:t>
            </w:r>
          </w:p>
        </w:tc>
        <w:tc>
          <w:tcPr>
            <w:tcW w:type="dxa" w:w="748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actor_id, group_id, scope_type, допустимые company_ids, версия политики. Текущие полномочия повторно вычисляются при исполнении.</w:t>
            </w:r>
          </w:p>
        </w:tc>
      </w:tr>
      <w:tr>
        <w:trPr>
          <w:cantSplit/>
        </w:trPr>
        <w:tc>
          <w:tcPr>
            <w:tcW w:type="dxa" w:w="226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Пределы</w:t>
            </w:r>
          </w:p>
        </w:tc>
        <w:tc>
          <w:tcPr>
            <w:tcW w:type="dxa" w:w="748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Максимум шагов, срок, объём контекста и ответа, бюджет запуска.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8.3. Контракт результата</w:t>
      </w:r>
    </w:p>
    <w:p>
      <w:r>
        <w:t>Результат содержит status, answer, структурированные facts, sources, data_as_of, coverage, proposed_actions, limitations и errors. Источник включает тип, идентификатор объекта, версию или дату данных, разрешённую ссылку и привязку к использованному фрагменту.</w:t>
      </w:r>
    </w:p>
    <w:p>
      <w:r>
        <w:t>Денежные значения, единицы, периоды и числовые показатели передаются в типизированных полях. Даты хранятся с единой временной основой; отображение и расписания используют часовой пояс области Smartdepo.</w:t>
      </w:r>
    </w:p>
    <w:p>
      <w:r>
        <w:br w:type="page"/>
      </w:r>
    </w:p>
    <w:p>
      <w:pPr>
        <w:pStyle w:val="Heading1"/>
      </w:pPr>
      <w:r>
        <w:t>9. Инструменты и работа с данными Smartdepo</w:t>
      </w:r>
    </w:p>
    <w:p>
      <w:r>
        <w:rPr>
          <w:b/>
        </w:rPr>
        <w:t xml:space="preserve">TOOL-01. Каталог операций. </w:t>
      </w:r>
      <w:r>
        <w:t>Реализовать реестр опубликованных серверных функций. Для инструмента задать код, описание, входную и выходную схемы, требуемые права, область, лимиты, срок выполнения и признак чтения либо изменения данных.</w:t>
      </w:r>
    </w:p>
    <w:p>
      <w:r>
        <w:rPr>
          <w:b/>
        </w:rPr>
        <w:t xml:space="preserve">TOOL-02. Разрешения. </w:t>
      </w:r>
      <w:r>
        <w:t>Выдавать профилю инструменты, необходимые для его сценариев. Сервер проверяет инициатора, объекты и параметры каждого вызова. Минимальные полномочия и проверка инструментов соответствуют рекомендациям OWASP [3].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3118"/>
        <w:gridCol w:w="6633"/>
      </w:tblGrid>
      <w:tr>
        <w:trPr>
          <w:cantSplit/>
          <w:tblHeader/>
        </w:trPr>
        <w:tc>
          <w:tcPr>
            <w:tcW w:type="dxa" w:w="311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Базовый тип инструмента</w:t>
            </w:r>
          </w:p>
        </w:tc>
        <w:tc>
          <w:tcPr>
            <w:tcW w:type="dxa" w:w="6633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Ожидаемый результат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Поиск записей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Разрешённые идентификаторы, основные поля, применённые фильтры и постраничная выдача.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Получение карточки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Актуальные доступные поля, связанные записи и документы по согласованной схеме.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Сводка за период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Показатели, рассчитанные прикладным кодом; период, единицы, валюта и время данных.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Выборка отклонений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Записи, соответствующие утверждённым условиям, и проверяемое основание включения.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Поиск по документам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Разрешённые фрагменты, версия документа, раздел либо страница и ссылка на оригинал.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Подготовка действия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Проверяемое предложение с параметрами; запись выполняется на этапе исполнения очереди Б.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TOOL-03. Числовые данные. </w:t>
      </w:r>
      <w:r>
        <w:t>Суммы, остатки, даты, просрочки и итоговые показатели рассчитывает прикладной код Smartdepo. Модель получает рассчитанные значения для объяснения и подготовки рекомендаций.</w:t>
      </w:r>
    </w:p>
    <w:p>
      <w:r>
        <w:rPr>
          <w:b/>
        </w:rPr>
        <w:t xml:space="preserve">TOOL-04. Контроль источников. </w:t>
      </w:r>
      <w:r>
        <w:t>Ссылки в ответе формируются из реально полученных записей и фрагментов. Перед показом сервер сверяет их принадлежность, доступность и соответствие использованным данным.</w:t>
      </w:r>
    </w:p>
    <w:p>
      <w:r>
        <w:rPr>
          <w:b/>
        </w:rPr>
        <w:t xml:space="preserve">TOOL-05. Групповые показатели. </w:t>
      </w:r>
      <w:r>
        <w:t>Утвердить формулы, периоды, валюты и единицы измерения. Для внутригрупповых операций определить порядок включения в отчёт. Ответ показывает учтённые доступные компании и метод агрегации.</w:t>
      </w:r>
    </w:p>
    <w:p>
      <w:r>
        <w:rPr>
          <w:b/>
        </w:rPr>
        <w:t xml:space="preserve">TOOL-06. Качество данных. </w:t>
      </w:r>
      <w:r>
        <w:t>Различать нулевое значение, отсутствующее поле и ошибку источника. При ограниченных данных показывать доступный результат, причину ограничения и требуемое уточнение.</w:t>
      </w:r>
    </w:p>
    <w:p>
      <w:r>
        <w:rPr>
          <w:b/>
        </w:rPr>
        <w:t xml:space="preserve">TOOL-07. Прикладной доступ. </w:t>
      </w:r>
      <w:r>
        <w:t>SQL-запросы и бизнес-изменения выполняются сервисами Smartdepo. Возможности модели ограничены опубликованным каталогом; исходящие подключения исполнителя задаются разрешёнными адресами сервисов.</w:t>
      </w:r>
    </w:p>
    <w:p>
      <w:r>
        <w:rPr>
          <w:b/>
        </w:rPr>
        <w:t xml:space="preserve">TOOL-08. Технический разрыв. </w:t>
      </w:r>
      <w:r>
        <w:t>Для согласованного сценария исполнитель создаёт недостающие методы чтения и адаптеры в прикладном слое. Перечень методов и затрагиваемых сущностей утверждается по результатам обследования.</w:t>
      </w:r>
    </w:p>
    <w:p>
      <w:r>
        <w:br w:type="page"/>
      </w:r>
    </w:p>
    <w:p>
      <w:pPr>
        <w:pStyle w:val="Heading1"/>
      </w:pPr>
      <w:r>
        <w:t>10. Документы, знания и сохранение результатов</w:t>
      </w:r>
    </w:p>
    <w:p>
      <w:pPr>
        <w:pStyle w:val="Heading2"/>
      </w:pPr>
      <w:r>
        <w:t>10.1. Подключение источников</w:t>
      </w:r>
    </w:p>
    <w:p>
      <w:r>
        <w:rPr>
          <w:b/>
        </w:rPr>
        <w:t xml:space="preserve">KN-01. Область документа. </w:t>
      </w:r>
      <w:r>
        <w:t>Поддержать документы уровня платформы, группы и компании с явно назначенной доступностью. Файл и производные фрагменты наследуют права источника.</w:t>
      </w:r>
    </w:p>
    <w:p>
      <w:r>
        <w:rPr>
          <w:b/>
        </w:rPr>
        <w:t xml:space="preserve">KN-02. Состав базовой обработки. </w:t>
      </w:r>
      <w:r>
        <w:t>Поддержать PDF с текстовым слоем, DOCX, TXT и XLSX. Для исходной оценки принять размер одного файла до 20 МБ. Табличный разбор сохраняет лист, заголовки, единицы и координаты использованных ячеек.</w:t>
      </w:r>
    </w:p>
    <w:p>
      <w:r>
        <w:rPr>
          <w:b/>
        </w:rPr>
        <w:t xml:space="preserve">KN-03. Проверка вложения. </w:t>
      </w:r>
      <w:r>
        <w:t>Проверять тип, размер, структуру и безопасность файла. Извлечение выполнять в ограниченном процессе с лимитами времени и ресурсов. Сканированные документы получают статус «Требуется распознавание»; OCR оформляется отдельным расширением.</w:t>
      </w:r>
    </w:p>
    <w:p>
      <w:r>
        <w:rPr>
          <w:b/>
        </w:rPr>
        <w:t xml:space="preserve">KN-04. Версии и состояния. </w:t>
      </w:r>
      <w:r>
        <w:t>Хранить владельца, контрольную сумму, дату, версию и состояние обработки: загружен, обрабатывается, доступен для поиска, требуется действие, ошибка, архивирован. Пользователь видит результат разбора.</w:t>
      </w:r>
    </w:p>
    <w:p>
      <w:pPr>
        <w:pStyle w:val="Heading2"/>
      </w:pPr>
      <w:r>
        <w:t>10.2. Поиск и ответы</w:t>
      </w:r>
    </w:p>
    <w:p>
      <w:r>
        <w:rPr>
          <w:b/>
        </w:rPr>
        <w:t xml:space="preserve">KN-05. Поиск по разрешённой области. </w:t>
      </w:r>
      <w:r>
        <w:t>Сначала ограничивать набор документов полномочиями пользователя, затем выполнять поиск и отбор фрагментов. Перед передачей модели дополнительно проверять доступность найденных источников.</w:t>
      </w:r>
    </w:p>
    <w:p>
      <w:r>
        <w:rPr>
          <w:b/>
        </w:rPr>
        <w:t xml:space="preserve">KN-06. Указание основания. </w:t>
      </w:r>
      <w:r>
        <w:t>В ответе по документам приводить использованный раздел, страницу либо лист и версию. При расхождении источников показывать различия и даты, применяя утверждённое правило приоритета документов.</w:t>
      </w:r>
    </w:p>
    <w:p>
      <w:r>
        <w:rPr>
          <w:b/>
        </w:rPr>
        <w:t xml:space="preserve">KN-07. Обновление. </w:t>
      </w:r>
      <w:r>
        <w:t>Изменения документа, его области и прав отражаются в поиске, кэше и доступности сохранённых результатов. Версия, доступная пользователю, проверяется при открытии источника.</w:t>
      </w:r>
    </w:p>
    <w:p>
      <w:r>
        <w:rPr>
          <w:b/>
        </w:rPr>
        <w:t xml:space="preserve">KN-08. Выбор поисковой технологии. </w:t>
      </w:r>
      <w:r>
        <w:t>Использовать поиск, достигающий критериев контрольных вопросов. При семантическом поиске зафиксировать модель представления текста, место обработки, правила сегментации и изоляцию индекса.</w:t>
      </w:r>
    </w:p>
    <w:p>
      <w:pPr>
        <w:pStyle w:val="Heading2"/>
      </w:pPr>
      <w:r>
        <w:t>10.3. История и официальные результаты</w:t>
      </w:r>
    </w:p>
    <w:p>
      <w:r>
        <w:rPr>
          <w:b/>
        </w:rPr>
        <w:t xml:space="preserve">KN-09. Контекст диалога. </w:t>
      </w:r>
      <w:r>
        <w:t>Хранить историю по пользователю и области. Сводка длинного диалога сохраняет ссылки на исходные сведения и ограничения доступа. Операционные показатели обновляются через инструменты при новом запросе.</w:t>
      </w:r>
    </w:p>
    <w:p>
      <w:r>
        <w:rPr>
          <w:b/>
        </w:rPr>
        <w:t xml:space="preserve">KN-10. Фиксация решения. </w:t>
      </w:r>
      <w:r>
        <w:t>Утверждённое решение, поручение или отчёт сохраняется в документе либо записи Smartdepo: содержание, автор, компания, дата, источники, run_id и сведения о подтверждении. Перечень доступных форм фиксируется в спецификации.</w:t>
      </w:r>
    </w:p>
    <w:p>
      <w:r>
        <w:rPr>
          <w:b/>
        </w:rPr>
        <w:t xml:space="preserve">KN-11. Хранение и экспорт. </w:t>
      </w:r>
      <w:r>
        <w:t>Применять сроки хранения, архивирования и удаления, утверждённые заказчиком. Доступ к выгрузке проверять при формировании и получении файла; временные ссылки имеют ограниченный срок действия.</w:t>
      </w:r>
    </w:p>
    <w:p>
      <w:r>
        <w:br w:type="page"/>
      </w:r>
    </w:p>
    <w:p>
      <w:pPr>
        <w:pStyle w:val="Heading1"/>
      </w:pPr>
      <w:r>
        <w:t>11. Подготовка, подтверждение и исполнение действий</w:t>
      </w:r>
    </w:p>
    <w:p>
      <w:r>
        <w:t>Очередь А предоставляет чтение, анализ и сохранение предложений. Очередь Б добавляет исполнение согласованных операций через существующие бизнес-сервисы Smartdepo.</w:t>
      </w:r>
    </w:p>
    <w:p>
      <w:pPr>
        <w:pStyle w:val="Heading2"/>
      </w:pPr>
      <w:r>
        <w:t>11.1. Базовый объём очереди Б</w:t>
      </w:r>
    </w:p>
    <w:p>
      <w:r>
        <w:t>Для исходной оценки принять два типа действий: создание задачи/поручения и добавление комментария к рабочей записи. Объекты, обязательные поля и прикладные методы закрепляются в спецификации после обследования. Правила согласования соответствуют действующим процессам Smartdepo.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1984"/>
        <w:gridCol w:w="7767"/>
      </w:tblGrid>
      <w:tr>
        <w:trPr>
          <w:cantSplit/>
          <w:tblHeader/>
        </w:trPr>
        <w:tc>
          <w:tcPr>
            <w:tcW w:type="dxa" w:w="1984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Этап действия</w:t>
            </w:r>
          </w:p>
        </w:tc>
        <w:tc>
          <w:tcPr>
            <w:tcW w:type="dxa" w:w="7767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Требование</w:t>
            </w:r>
          </w:p>
        </w:tc>
      </w:tr>
      <w:tr>
        <w:trPr>
          <w:cantSplit/>
        </w:trPr>
        <w:tc>
          <w:tcPr>
            <w:tcW w:type="dxa" w:w="198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Подготовка</w:t>
            </w:r>
          </w:p>
        </w:tc>
        <w:tc>
          <w:tcPr>
            <w:tcW w:type="dxa" w:w="776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Сохранить тип, компанию, объект, нормализованные параметры, ожидаемый эффект, инициатора и срок актуальности.</w:t>
            </w:r>
          </w:p>
        </w:tc>
      </w:tr>
      <w:tr>
        <w:trPr>
          <w:cantSplit/>
        </w:trPr>
        <w:tc>
          <w:tcPr>
            <w:tcW w:type="dxa" w:w="198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Проверка сотрудником</w:t>
            </w:r>
          </w:p>
        </w:tc>
        <w:tc>
          <w:tcPr>
            <w:tcW w:type="dxa" w:w="776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Показать карточку действия; для изменения записи — значения до и после. Предоставить редактирование и отклонение.</w:t>
            </w:r>
          </w:p>
        </w:tc>
      </w:tr>
      <w:tr>
        <w:trPr>
          <w:cantSplit/>
        </w:trPr>
        <w:tc>
          <w:tcPr>
            <w:tcW w:type="dxa" w:w="198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Подтверждение</w:t>
            </w:r>
          </w:p>
        </w:tc>
        <w:tc>
          <w:tcPr>
            <w:tcW w:type="dxa" w:w="776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Связать решение сотрудника с action_id и точной версией или хэшем параметров. Записать подтверждающего, время и срок.</w:t>
            </w:r>
          </w:p>
        </w:tc>
      </w:tr>
      <w:tr>
        <w:trPr>
          <w:cantSplit/>
        </w:trPr>
        <w:tc>
          <w:tcPr>
            <w:tcW w:type="dxa" w:w="198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Исполнение</w:t>
            </w:r>
          </w:p>
        </w:tc>
        <w:tc>
          <w:tcPr>
            <w:tcW w:type="dxa" w:w="776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Повторно проверить текущие полномочия, согласование, версию объекта и бизнес-ограничения. Вызвать штатный сервис.</w:t>
            </w:r>
          </w:p>
        </w:tc>
      </w:tr>
      <w:tr>
        <w:trPr>
          <w:cantSplit/>
        </w:trPr>
        <w:tc>
          <w:tcPr>
            <w:tcW w:type="dxa" w:w="1984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Результат</w:t>
            </w:r>
          </w:p>
        </w:tc>
        <w:tc>
          <w:tcPr>
            <w:tcW w:type="dxa" w:w="776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Сохранить идентификатор операции и ссылку на фактически созданную или изменённую запись; отобразить итог пользователю.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rPr>
          <w:b/>
        </w:rPr>
        <w:t xml:space="preserve">ACT-01. Право подтверждения. </w:t>
      </w:r>
      <w:r>
        <w:t>Назначение согласующего определяется серверной политикой. После изменения значимых параметров требуется подтверждение новой версии. Механизм приостановки и возобновления может использовать функции выбранного SDK [4].</w:t>
      </w:r>
    </w:p>
    <w:p>
      <w:r>
        <w:rPr>
          <w:b/>
        </w:rPr>
        <w:t xml:space="preserve">ACT-02. Однократный бизнес-эффект. </w:t>
      </w:r>
      <w:r>
        <w:t>Использовать ключ идемпотентности и уникальное ограничение в прикладной базе. Регистрация ключа и изменение записи выполняются атомарно либо через проверяемый процесс согласования состояния. Повторная доставка возвращает результат той же операции [5].</w:t>
      </w:r>
    </w:p>
    <w:p>
      <w:r>
        <w:rPr>
          <w:b/>
        </w:rPr>
        <w:t xml:space="preserve">ACT-03. Конфликт и сверка. </w:t>
      </w:r>
      <w:r>
        <w:t>Изменение целевого объекта другим сотрудником переводит действие на повторную проверку. При обрыве связи после возможной записи устанавливается состояние сверки; результат определяется по ключу операции.</w:t>
      </w:r>
    </w:p>
    <w:p>
      <w:r>
        <w:rPr>
          <w:b/>
        </w:rPr>
        <w:t xml:space="preserve">ACT-04. Отдельные статусы. </w:t>
      </w:r>
      <w:r>
        <w:t>Для действий предусмотреть подготовку, ожидание, подтверждение, исполнение, сверку, завершение, отклонение, истечение срока и ошибку. Жизненный цикл действия связан с запуском и хранится отдельно.</w:t>
      </w:r>
    </w:p>
    <w:p>
      <w:r>
        <w:rPr>
          <w:b/>
        </w:rPr>
        <w:t xml:space="preserve">ACT-05. Критичные операции. </w:t>
      </w:r>
      <w:r>
        <w:t>Платежи, изменение прав, массовые изменения и удаления обслуживаются штатными процедурами Smartdepo. Их включение в каталог помощников требует отдельной спецификации полномочий, согласований и испытаний.</w:t>
      </w:r>
    </w:p>
    <w:p>
      <w:r>
        <w:t>Для набора действий по нескольким компаниям формировать отдельные записи и статусы исполнения. Итог показывает фактически выполненную часть и последующие шаги.</w:t>
      </w:r>
    </w:p>
    <w:p>
      <w:r>
        <w:br w:type="page"/>
      </w:r>
    </w:p>
    <w:p>
      <w:pPr>
        <w:pStyle w:val="Heading1"/>
      </w:pPr>
      <w:r>
        <w:t>12. Автоматический контроль и Smartdepo Center Bot</w:t>
      </w:r>
    </w:p>
    <w:p>
      <w:pPr>
        <w:pStyle w:val="Heading2"/>
      </w:pPr>
      <w:r>
        <w:t>12.1. Автоматические проверки — очередь Б</w:t>
      </w:r>
    </w:p>
    <w:p>
      <w:r>
        <w:rPr>
          <w:b/>
        </w:rPr>
        <w:t xml:space="preserve">AUTO-01. Триггеры. </w:t>
      </w:r>
      <w:r>
        <w:t>Поддержать запуск по расписанию и событиям Smartdepo. В базовый объём включить один тип ежедневной сводки и один тип уведомления по событию; предметные условия закрепить при обследовании.</w:t>
      </w:r>
    </w:p>
    <w:p>
      <w:r>
        <w:rPr>
          <w:b/>
        </w:rPr>
        <w:t xml:space="preserve">AUTO-02. Правило. </w:t>
      </w:r>
      <w:r>
        <w:t>Хранить владельца, группу, область компаний, профиль, условие, расписание, часовой пояс, получателей, частоту и лимиты. Предусмотреть включение, приостановку и журнал исполнения.</w:t>
      </w:r>
    </w:p>
    <w:p>
      <w:r>
        <w:rPr>
          <w:b/>
        </w:rPr>
        <w:t xml:space="preserve">AUTO-03. Исполнение. </w:t>
      </w:r>
      <w:r>
        <w:t>Проверки сроков, статусов и значений выполнять прикладным кодом. Модель подключать для анализа и подготовки пояснения. Перед запуском проверять актуальные полномочия владельца или специально назначенной служебной роли.</w:t>
      </w:r>
    </w:p>
    <w:p>
      <w:r>
        <w:rPr>
          <w:b/>
        </w:rPr>
        <w:t xml:space="preserve">AUTO-04. Доставка. </w:t>
      </w:r>
      <w:r>
        <w:t>Использовать идентификатор события и ключ уведомления для обработки повторов. Ограничивать частоту, объединять однородные уведомления и контролировать цепочки событий, создаваемые собственными действиями системы.</w:t>
      </w:r>
    </w:p>
    <w:p>
      <w:r>
        <w:rPr>
          <w:b/>
        </w:rPr>
        <w:t xml:space="preserve">AUTO-05. Работа с отклонениями. </w:t>
      </w:r>
      <w:r>
        <w:t>Настроить повторные попытки, журнал окончательных ошибок и уведомление администратора. Отключение пользователя, компании или разрешения приостанавливает связанные правила до проверки полномочий.</w:t>
      </w:r>
    </w:p>
    <w:p>
      <w:pPr>
        <w:pStyle w:val="Heading2"/>
      </w:pPr>
      <w:r>
        <w:t>12.2. Подключение Center Bot — очередь В</w:t>
      </w:r>
    </w:p>
    <w:p>
      <w:r>
        <w:rPr>
          <w:b/>
        </w:rPr>
        <w:t xml:space="preserve">BOT-01. Связь с пользователем. </w:t>
      </w:r>
      <w:r>
        <w:t>Привязка выполняется из авторизованной сессии Smartdepo через одноразовый код с ограниченным сроком. Предусмотреть подтверждение, просмотр связей и отзыв доступа.</w:t>
      </w:r>
    </w:p>
    <w:p>
      <w:r>
        <w:rPr>
          <w:b/>
        </w:rPr>
        <w:t xml:space="preserve">BOT-02. Уведомления. </w:t>
      </w:r>
      <w:r>
        <w:t>В личный канал отправлять тип события, краткий разрешённый статус и ссылку на Smartdepo. Полный результат доступен после проверки прав в платформе.</w:t>
      </w:r>
    </w:p>
    <w:p>
      <w:r>
        <w:rPr>
          <w:b/>
        </w:rPr>
        <w:t xml:space="preserve">BOT-03. Запросы. </w:t>
      </w:r>
      <w:r>
        <w:t>Поддержать выбор доступной компании и профиля, отправку вопроса и получение статуса. Использовать тот же API, run_id, источники, лимиты и правила хранения, что в веб-интерфейсе.</w:t>
      </w:r>
    </w:p>
    <w:p>
      <w:r>
        <w:rPr>
          <w:b/>
        </w:rPr>
        <w:t xml:space="preserve">BOT-04. Подтверждения. </w:t>
      </w:r>
      <w:r>
        <w:t>Карточки исполнения открываются в Smartdepo по ссылке. Согласование выполняется в авторизованном веб-интерфейсе с привязкой к версии действия.</w:t>
      </w:r>
    </w:p>
    <w:p>
      <w:r>
        <w:rPr>
          <w:b/>
        </w:rPr>
        <w:t xml:space="preserve">BOT-05. Область канала. </w:t>
      </w:r>
      <w:r>
        <w:t>Базовая реализация работает в личных диалогах. Подключение групповых каналов оформляется отдельной политикой получателей и состава передаваемых данных.</w:t>
      </w:r>
    </w:p>
    <w:p>
      <w:r>
        <w:rPr>
          <w:b/>
        </w:rPr>
        <w:t xml:space="preserve">BOT-06. Надёжность. </w:t>
      </w:r>
      <w:r>
        <w:t>Проверять подлинность входящих событий средствами API канала, ограничивать повторы и частоту запросов. Отзыв связи блокирует последующие обращения и отправку новых уведомлений.</w:t>
      </w:r>
    </w:p>
    <w:p>
      <w:r>
        <w:t>Учётная запись приложения бота, ключи и настройки вебхуков передаются под управление заказчика. Конкретный API канала фиксируется при обследовании действующего Smartdepo Center Bot.</w:t>
      </w:r>
    </w:p>
    <w:p>
      <w:r>
        <w:br w:type="page"/>
      </w:r>
    </w:p>
    <w:p>
      <w:pPr>
        <w:pStyle w:val="Heading1"/>
      </w:pPr>
      <w:r>
        <w:t>13. Координатор и взаимодействие помощников</w:t>
      </w:r>
    </w:p>
    <w:p>
      <w:r>
        <w:t>Координатор вводится в очереди Г после приёмки профильных помощников. Он использует общий контракт запуска и существующие профили. В интерфейсе сохраняются оба способа работы: прямое обращение к специалисту и задача общему помощнику.</w:t>
      </w:r>
    </w:p>
    <w:p>
      <w:r>
        <w:rPr>
          <w:b/>
        </w:rPr>
        <w:t xml:space="preserve">CO-01. Разбор задачи. </w:t>
      </w:r>
      <w:r>
        <w:t>Определять требуемые результаты, профильных исполнителей и зависимости. При необходимости уточнять период, объект или состав доступных компаний.</w:t>
      </w:r>
    </w:p>
    <w:p>
      <w:r>
        <w:rPr>
          <w:b/>
        </w:rPr>
        <w:t xml:space="preserve">CO-02. Подзадачи. </w:t>
      </w:r>
      <w:r>
        <w:t>Создавать дочерние запуски с parent_run_id, конкретной целью и ожидаемым форматом ответа. Передавать релевантную часть контекста и разрешённые источники.</w:t>
      </w:r>
    </w:p>
    <w:p>
      <w:r>
        <w:rPr>
          <w:b/>
        </w:rPr>
        <w:t xml:space="preserve">CO-03. Разрешения. </w:t>
      </w:r>
      <w:r>
        <w:t>Каждая подзадача наследует проверенную область и получает полномочия в пределах исходного запуска. Доступ к объектам проверяется при каждом вызове профильного инструмента.</w:t>
      </w:r>
    </w:p>
    <w:p>
      <w:r>
        <w:rPr>
          <w:b/>
        </w:rPr>
        <w:t xml:space="preserve">CO-04. Выполнение. </w:t>
      </w:r>
      <w:r>
        <w:t>Выбирать требуемых специалистов; независимые подзадачи могут выполняться параллельно. Для исходной оценки принять максимум пять профильных подзадач, один уровень делегирования и общий бюджет родительского запуска.</w:t>
      </w:r>
    </w:p>
    <w:p>
      <w:r>
        <w:rPr>
          <w:b/>
        </w:rPr>
        <w:t xml:space="preserve">CO-05. Общий ответ. </w:t>
      </w:r>
      <w:r>
        <w:t>Объединять проверенные факты, источники, показатели и предложения. Сводка содержит период, компании, состав выполненной работы и ссылки на профильные результаты.</w:t>
      </w:r>
    </w:p>
    <w:p>
      <w:r>
        <w:rPr>
          <w:b/>
        </w:rPr>
        <w:t xml:space="preserve">CO-06. Частичный результат. </w:t>
      </w:r>
      <w:r>
        <w:t>При ошибке специалиста показывать выполненную часть и конкретное ограничение. Повторять только допустимые шаги в пределах общего лимита.</w:t>
      </w:r>
    </w:p>
    <w:p>
      <w:r>
        <w:rPr>
          <w:b/>
        </w:rPr>
        <w:t xml:space="preserve">CO-07. Противоречия. </w:t>
      </w:r>
      <w:r>
        <w:t>При расхождении выводов показывать исходные значения, даты и применённые правила. Общие числовые показатели рассчитываются согласованными инструментами Smartdepo.</w:t>
      </w:r>
    </w:p>
    <w:p>
      <w:r>
        <w:rPr>
          <w:b/>
        </w:rPr>
        <w:t xml:space="preserve">CO-08. Действия. </w:t>
      </w:r>
      <w:r>
        <w:t>Исполнение предлагаемых операций подключается вместе с очередью Б и сохраняет её правила подтверждения. Пользователь получает проверяемые карточки действий с компанией и ответственным.</w:t>
      </w:r>
    </w:p>
    <w:p>
      <w:pPr>
        <w:pStyle w:val="Heading2"/>
      </w:pPr>
      <w:r>
        <w:t>13.1. Базовые сценарии приёмки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3118"/>
        <w:gridCol w:w="6633"/>
      </w:tblGrid>
      <w:tr>
        <w:trPr>
          <w:cantSplit/>
          <w:tblHeader/>
        </w:trPr>
        <w:tc>
          <w:tcPr>
            <w:tcW w:type="dxa" w:w="3118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Сценарий</w:t>
            </w:r>
          </w:p>
        </w:tc>
        <w:tc>
          <w:tcPr>
            <w:tcW w:type="dxa" w:w="6633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Составной запрос по компании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Два профильных помощника обрабатывают свои части; координатор выдаёт общую сводку с источниками.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Групповой анализ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Координатор получает разрешённые агрегаты по доступным компаниям и отображает покрытие отчёта.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Ошибка одного специалиста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Пользователь получает частичный итог, причину и возможность повторить допустимую часть.</w:t>
            </w:r>
          </w:p>
        </w:tc>
      </w:tr>
      <w:tr>
        <w:trPr>
          <w:cantSplit/>
        </w:trPr>
        <w:tc>
          <w:tcPr>
            <w:tcW w:type="dxa" w:w="3118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Обращение к специалисту</w:t>
            </w:r>
          </w:p>
        </w:tc>
        <w:tc>
          <w:tcPr>
            <w:tcW w:type="dxa" w:w="6633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После подключения координатора прямой профильный диалог проходит прежний набор сценариев.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t>Составные вызовы реализуются через адаптер профилей и документированный формат результата. При использовании OpenAI Agents SDK допускается модель вызова специалиста как инструмента [2].</w:t>
      </w:r>
    </w:p>
    <w:p>
      <w:r>
        <w:br w:type="page"/>
      </w:r>
    </w:p>
    <w:p>
      <w:pPr>
        <w:pStyle w:val="Heading1"/>
      </w:pPr>
      <w:r>
        <w:t>14. Безопасность и обработка корпоративных данных</w:t>
      </w:r>
    </w:p>
    <w:p>
      <w:r>
        <w:rPr>
          <w:b/>
        </w:rPr>
        <w:t xml:space="preserve">SEC-01. Изоляция. </w:t>
      </w:r>
      <w:r>
        <w:t>Проверять принадлежность и права в API, worker, инструментах, базе, поиске, кэше, файлах, истории, выгрузках и потоках событий. Тестовый стенд включает две группы и минимум три компании [1].</w:t>
      </w:r>
    </w:p>
    <w:p>
      <w:r>
        <w:rPr>
          <w:b/>
        </w:rPr>
        <w:t xml:space="preserve">SEC-02. Серверные политики. </w:t>
      </w:r>
      <w:r>
        <w:t>Права, перечень операций и лимиты определяются серверной конфигурацией. Текст сообщения, содержимое документа и ответ модели обрабатываются как входные данные. Опасные инструкции в источниках проходят отдельные испытания [3].</w:t>
      </w:r>
    </w:p>
    <w:p>
      <w:r>
        <w:rPr>
          <w:b/>
        </w:rPr>
        <w:t xml:space="preserve">SEC-03. Секреты и соединения. </w:t>
      </w:r>
      <w:r>
        <w:t>Использовать TLS для передачи данных и принятые средства защиты хранилищ. Ключи, токены и служебные учётные записи хранить в менеджере секретов либо защищённой серверной конфигурации с ротацией и аудитом доступа.</w:t>
      </w:r>
    </w:p>
    <w:p>
      <w:r>
        <w:rPr>
          <w:b/>
        </w:rPr>
        <w:t xml:space="preserve">SEC-04. Исходящий трафик. </w:t>
      </w:r>
      <w:r>
        <w:t>Разрешить исполнителю обращения к согласованным сервисам и поставщику модели. Параметры инструментов проходят проверку схемы, допустимых значений и размера. Ссылки в ответах формируются из доверенного реестра источников.</w:t>
      </w:r>
    </w:p>
    <w:p>
      <w:r>
        <w:rPr>
          <w:b/>
        </w:rPr>
        <w:t xml:space="preserve">SEC-05. Данные у поставщика модели. </w:t>
      </w:r>
      <w:r>
        <w:t>До промышленного запуска утвердить карту обработки: категории данных, место обработки, сроки хранения, журналы, доступ персонала поставщика и настройки API. При выборе OpenAI учитывать отдельные условия хранения состояния запросов и журналов безопасности [6].</w:t>
      </w:r>
    </w:p>
    <w:p>
      <w:r>
        <w:rPr>
          <w:b/>
        </w:rPr>
        <w:t xml:space="preserve">SEC-06. Минимизация. </w:t>
      </w:r>
      <w:r>
        <w:t>Передавать модели поля и фрагменты, необходимые для конкретной задачи. Для персональных и конфиденциальных сведений задать правила маскирования, разрешённые сценарии и права просмотра.</w:t>
      </w:r>
    </w:p>
    <w:p>
      <w:r>
        <w:rPr>
          <w:b/>
        </w:rPr>
        <w:t xml:space="preserve">SEC-07. Диагностика. </w:t>
      </w:r>
      <w:r>
        <w:t>Состав внешней трассировки и содержимого журналов задаётся явно. Промпты, ответы и фрагменты документов включаются в диагностику по утверждённой политике. Производственные секреты маскируются.</w:t>
      </w:r>
    </w:p>
    <w:p>
      <w:r>
        <w:rPr>
          <w:b/>
        </w:rPr>
        <w:t xml:space="preserve">SEC-08. Среды. </w:t>
      </w:r>
      <w:r>
        <w:t>Разделить разработку, тестирование и промышленную среду, ключи, хранилища и настройки. Испытания проводить на синтетическом либо согласованно обезличенном наборе.</w:t>
      </w:r>
    </w:p>
    <w:p>
      <w:r>
        <w:rPr>
          <w:b/>
        </w:rPr>
        <w:t xml:space="preserve">SEC-09. Публикация профилей. </w:t>
      </w:r>
      <w:r>
        <w:t>Изменения инструкций, инструментов и политик проходят версионирование, проверку и публикацию уполномоченным пользователем. Сохраняются автор, причина изменения и результаты контрольных тестов.</w:t>
      </w:r>
    </w:p>
    <w:p>
      <w:r>
        <w:rPr>
          <w:b/>
        </w:rPr>
        <w:t xml:space="preserve">SEC-10. Сроки хранения. </w:t>
      </w:r>
      <w:r>
        <w:t>Утвердить сроки для диалогов, файлов, событий, действий, индекса и резервных копий. Удаление и отзыв доступа распространяются на связанные производные данные согласно политике хранения.</w:t>
      </w:r>
    </w:p>
    <w:p>
      <w:r>
        <w:rPr>
          <w:b/>
        </w:rPr>
        <w:t xml:space="preserve">SEC-11. Доступ исполнителя. </w:t>
      </w:r>
      <w:r>
        <w:t>Предоставлять внешней команде именованные учётные записи с ограниченными полномочиями. По завершении работ выполнить отзыв доступов и передачу актуальной конфигурации заказчику.</w:t>
      </w:r>
    </w:p>
    <w:p>
      <w:r>
        <w:t>Матрица безопасности связывает каждую границу доступа с автоматизированным тестом и свидетельством его выполнения. Обнаруженные нарушения изоляции и исполнения операций устраняются до допуска соответствующей очереди.</w:t>
      </w:r>
    </w:p>
    <w:p>
      <w:r>
        <w:br w:type="page"/>
      </w:r>
    </w:p>
    <w:p>
      <w:pPr>
        <w:pStyle w:val="Heading1"/>
      </w:pPr>
      <w:r>
        <w:t>15. Администрирование и эксплуатационные требования</w:t>
      </w:r>
    </w:p>
    <w:p>
      <w:pPr>
        <w:pStyle w:val="Heading2"/>
      </w:pPr>
      <w:r>
        <w:t>15.1. Администрирование</w:t>
      </w:r>
    </w:p>
    <w:p>
      <w:r>
        <w:rPr>
          <w:b/>
        </w:rPr>
        <w:t xml:space="preserve">OPS-01. Настройки. </w:t>
      </w:r>
      <w:r>
        <w:t>Предусмотреть управление включением профилей по областям, источниками, сценариями, лимитами и разрешениями на подтверждение. Администратор видит действующую конфигурацию и историю её изменений.</w:t>
      </w:r>
    </w:p>
    <w:p>
      <w:r>
        <w:rPr>
          <w:b/>
        </w:rPr>
        <w:t xml:space="preserve">OPS-02. Ресурсы. </w:t>
      </w:r>
      <w:r>
        <w:t>Учитывать запросы, токены, время и расчётную стоимость по пользователю, компании, группе, модели и профилю. Для каждого запуска резервировать лимит и сверять фактический расход, включая дочерние задачи.</w:t>
      </w:r>
    </w:p>
    <w:p>
      <w:r>
        <w:rPr>
          <w:b/>
        </w:rPr>
        <w:t xml:space="preserve">OPS-03. Наблюдаемость. </w:t>
      </w:r>
      <w:r>
        <w:t>Показывать длину очереди, выполняемые и зависшие задания, частоту ошибок, задержки инструментов, расходы и состояние поставщика модели. Использовать run_id для связи событий.</w:t>
      </w:r>
    </w:p>
    <w:p>
      <w:r>
        <w:rPr>
          <w:b/>
        </w:rPr>
        <w:t xml:space="preserve">OPS-04. Обслуживание. </w:t>
      </w:r>
      <w:r>
        <w:t>Предоставить проверки здоровья, ограниченные повторы, обработку окончательных ошибок, безопасное обновление worker и восстановление из резервной копии. Выполнить контрольный сценарий восстановления на тестовой среде.</w:t>
      </w:r>
    </w:p>
    <w:p>
      <w:pPr>
        <w:pStyle w:val="Heading2"/>
      </w:pPr>
      <w:r>
        <w:t>15.2. Расчётный профиль для оценки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835"/>
        <w:gridCol w:w="6917"/>
      </w:tblGrid>
      <w:tr>
        <w:trPr>
          <w:cantSplit/>
          <w:tblHeader/>
        </w:trPr>
        <w:tc>
          <w:tcPr>
            <w:tcW w:type="dxa" w:w="283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Параметр</w:t>
            </w:r>
          </w:p>
        </w:tc>
        <w:tc>
          <w:tcPr>
            <w:tcW w:type="dxa" w:w="6917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Базовое требование ТЗ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Функциональный объём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Пять профилей; 15 сквозных сценариев; минимум 30 контрольных вопросов на профиль.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Параллельность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50 активных пользовательских сессий, до 10 одновременно исполняемых ИИ-заданий. Лимиты регулируются по области.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Объём контрольных данных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Для нагрузочной оценки: 100 000 операционных записей и 1 000 документов. Состав и размеры файлов фиксируются в программе испытаний.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Приём и чтение статуса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95-й процентиль времени серверного приёма запроса и чтения статуса — до 2 секунд при согласованной нагрузке.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Отображение события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Обновление статуса в подключённом интерфейсе — до 3 секунд после фиксации серверного события.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Работа основной платформы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95-й процентиль контрольных операций Smartdepo при ИИ-нагрузке — в пределах 120% измеренного базового значения.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Ответ с моделью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Измерить полное время, время модели, инструментов и очереди отдельно. Целевой норматив закрепить на выбранной модели и контрольных задачах.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Браузеры и доступность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Поддержать используемые заказчиком браузеры и штатные размеры экранов. Полный сценарий подтверждения проверяется с клавиатуры.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r>
        <w:t>95-й процентиль означает, что 95% измерений укладываются в указанный предел. Нагрузочный протокол содержит конфигурацию стенда, версии, ограничения поставщика, данные и сценарий запуска. Изменения исходного профиля оформляются до начала соответствующих испытаний.</w:t>
      </w:r>
    </w:p>
    <w:p>
      <w:r>
        <w:br w:type="page"/>
      </w:r>
    </w:p>
    <w:p>
      <w:pPr>
        <w:pStyle w:val="Heading1"/>
      </w:pPr>
      <w:r>
        <w:t>16. Этапы разработки и результаты передачи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1531"/>
        <w:gridCol w:w="3969"/>
        <w:gridCol w:w="4252"/>
      </w:tblGrid>
      <w:tr>
        <w:trPr>
          <w:cantSplit/>
          <w:tblHeader/>
        </w:trPr>
        <w:tc>
          <w:tcPr>
            <w:tcW w:type="dxa" w:w="1531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Этап</w:t>
            </w:r>
          </w:p>
        </w:tc>
        <w:tc>
          <w:tcPr>
            <w:tcW w:type="dxa" w:w="3969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Работы</w:t>
            </w:r>
          </w:p>
        </w:tc>
        <w:tc>
          <w:tcPr>
            <w:tcW w:type="dxa" w:w="4252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9"/>
              </w:rPr>
              <w:t>Результат и условие перехода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1. Обследование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Фактический стек, роли и области, модель данных, API, файлы, точки интерфейса, инфраструктура и Center Bot.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Архитектура, карта интеграций, матрица прав, спецификация 15 сценариев, каталог инструментов и программа испытаний согласованы.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2. Общая основа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Проверенный контекст; хранение запусков; публикация в очередь; worker; один профиль; чтение данных; минимальный чат.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Один сквозной сценарий работает на тестовых компаниях; пройдены проверки изоляции, повторного приёма и восстановления.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3. Очередь А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Пять профилей; предметные сценарии; контекстная панель; документы; источники; история; администрирование и лимиты.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Пройдена функциональная, предметная, нагрузочная и эксплуатационная приёмка. Пилотная группа пользователей завершила контрольные задачи.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4. Очередь Б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Два типа действий; подтверждение; защита от повторов; сверка; ежедневная сводка и событийное уведомление.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Пройдены испытания согласований, конфликтов, повторов, автоматизаций и отзыва прав.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5. Очередь В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Привязка Center Bot; личные уведомления; вопросы; статусы и ссылки на Smartdepo.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Пройдены проверки идентификации, разграничения, повторной доставки и отзыва привязки.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6. Очередь Г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Координатор; дочерние запуски; источники общего ответа; ограничения ресурсов и обработка частичных результатов.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Пройдены межпрофильные сценарии и повторная проверка прямых обращений к специалистам.</w:t>
            </w:r>
          </w:p>
        </w:tc>
      </w:tr>
      <w:tr>
        <w:trPr>
          <w:cantSplit/>
        </w:trPr>
        <w:tc>
          <w:tcPr>
            <w:tcW w:type="dxa" w:w="153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7. Ввод принятой очереди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Развёртывание, проверка конфигурации, обучение, контроль восстановления и передача сопровождению.</w:t>
            </w:r>
          </w:p>
        </w:tc>
        <w:tc>
          <w:tcPr>
            <w:tcW w:type="dxa" w:w="4252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9"/>
              </w:rPr>
              <w:t>Переданы исходники, документация, доступы, протоколы и воспроизводимая инструкция развёртывания.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16.1. Организация работ</w:t>
      </w:r>
    </w:p>
    <w:p>
      <w:r>
        <w:t>Код, конфигурации профилей, миграции и тесты ведутся в репозитории заказчика. Изменения проходят проверки сборки, типов, качества кода, автоматизированные тесты и рассмотрение техническим ответственным.</w:t>
      </w:r>
    </w:p>
    <w:p>
      <w:r>
        <w:t>Каждая очередь демонстрируется на согласованных задачах и данных. Обнаруженные замечания регистрируются с воспроизведением, приоритетом и критерием устранения. Готовность подтверждается протоколом приёмки.</w:t>
      </w:r>
    </w:p>
    <w:p>
      <w:pPr>
        <w:pStyle w:val="Heading2"/>
      </w:pPr>
      <w:r>
        <w:t>16.2. Ответственность сторон</w:t>
      </w:r>
    </w:p>
    <w:p>
      <w:r>
        <w:t>Заказчик предоставляет доступ к тестовой среде, описанию процессов и допустимым данным, назначает владельцев сценариев и подтверждает предметные результаты. Исполнитель отвечает за проектирование, разработку, интеграцию, испытания, документацию и передачу работоспособной поставки.</w:t>
      </w:r>
    </w:p>
    <w:p>
      <w:r>
        <w:br w:type="page"/>
      </w:r>
    </w:p>
    <w:p>
      <w:pPr>
        <w:pStyle w:val="Heading1"/>
      </w:pPr>
      <w:r>
        <w:t>17. Испытания и критерии приёмки</w:t>
      </w:r>
    </w:p>
    <w:p>
      <w:pPr>
        <w:pStyle w:val="Heading2"/>
      </w:pPr>
      <w:r>
        <w:t>17.1. Контрольный набор</w:t>
      </w:r>
    </w:p>
    <w:p>
      <w:r>
        <w:t>Использовать группу G1 с компаниями A и B и отдельную группу G2 с компанией C. Подготовить пользователей с правами одной компании, нескольких компаний, только групповых агрегатов, согласования действий и технического администрирования.</w:t>
      </w:r>
    </w:p>
    <w:p>
      <w:r>
        <w:t>Для каждого профиля подготовить минимум 30 контрольных вопросов: обычные задачи, уточнения, пустые данные, источники, ограничения полномочий и ошибки сервисов. Для каждого вопроса задать ожидаемые источники, показатели, допустимое действие и критерии качества.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765"/>
        <w:gridCol w:w="4025"/>
        <w:gridCol w:w="4961"/>
      </w:tblGrid>
      <w:tr>
        <w:trPr>
          <w:cantSplit/>
          <w:tblHeader/>
        </w:trPr>
        <w:tc>
          <w:tcPr>
            <w:tcW w:type="dxa" w:w="76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Код</w:t>
            </w:r>
          </w:p>
        </w:tc>
        <w:tc>
          <w:tcPr>
            <w:tcW w:type="dxa" w:w="402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Проверка</w:t>
            </w:r>
          </w:p>
        </w:tc>
        <w:tc>
          <w:tcPr>
            <w:tcW w:type="dxa" w:w="4961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Ожидаемый результат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T-01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Подмена компании, группы или ID объекта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Сервер отклоняет обращение к чужим данным до их передачи модели.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T-02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Права только на групповые агрегаты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Ответ содержит разрешённые сводные показатели; детализация проходит отдельную проверку.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T-03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Смена компании и открытие истории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Открывается область выбранной компании; переписка и результаты доступны по её правилам.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T-04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Отзыв прав в очереди и после завершения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Исполнение и просмотр повторно проверяют актуальные полномочия.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T-05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Вредоносные указания в документе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Действуют серверные политики; обращения к данным и инструментам проходят штатную авторизацию.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T-06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Сбой модели, поиска или источника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Показана ошибка либо частичный результат с обозначенной причиной.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T-07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Закрытие вкладки и перезапуск worker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Принятое задание сохраняет идентичность и восстанавливает проверяемое состояние.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T-08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Повтор отправки и сбой публикации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Один запрос связан с одним запуском; публикация восстанавливается из надёжного хранилища.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T-09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Обновление или удаление документа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Поиск, кэш и доступ к производным ответам учитывают актуальную версию и права.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T-10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Достигнут лимит шагов или расходов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Дальнейшие вызовы останавливаются, состояние и фактический расход сохраняются.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T-11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Числа, периоды и ссылки в ответе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Значения совпадают с контрольным расчётом; ссылки ведут к фактически использованным доступным источникам.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T-12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Пять предметных профилей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 каждому профилю работают три согласованных сквозных сценария.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17.2. Условия приёмки очереди А</w:t>
      </w:r>
    </w:p>
    <w:p>
      <w:r>
        <w:t>Все обязательные проверки безопасности, чисел, источников и серверных операций проходят на контрольном наборе. По экспертной оценке минимум 90% предметных вопросов должны удовлетворять утверждённым критериям полноты и полезности. Критичные проверки с участием модели повторяются три раза.</w:t>
      </w:r>
    </w:p>
    <w:p>
      <w:r>
        <w:t>Протокол содержит фактические результаты и ссылки на подтверждения. Замечания, связанные с раскрытием данных, обходом согласований, потерей принятых заданий и нарушением основных сценариев, устраняются до ввода очереди.</w:t>
      </w:r>
    </w:p>
    <w:p>
      <w:r>
        <w:br w:type="page"/>
      </w:r>
    </w:p>
    <w:p>
      <w:pPr>
        <w:pStyle w:val="Heading1"/>
      </w:pPr>
      <w:r>
        <w:t>18. Приёмка расширений и комплект поставки</w:t>
      </w:r>
    </w:p>
    <w:p>
      <w:pPr>
        <w:pStyle w:val="Heading2"/>
      </w:pPr>
      <w:r>
        <w:t>18.1. Дополнительные испытания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765"/>
        <w:gridCol w:w="4025"/>
        <w:gridCol w:w="4961"/>
      </w:tblGrid>
      <w:tr>
        <w:trPr>
          <w:cantSplit/>
          <w:tblHeader/>
        </w:trPr>
        <w:tc>
          <w:tcPr>
            <w:tcW w:type="dxa" w:w="76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Код</w:t>
            </w:r>
          </w:p>
        </w:tc>
        <w:tc>
          <w:tcPr>
            <w:tcW w:type="dxa" w:w="402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Проверка</w:t>
            </w:r>
          </w:p>
        </w:tc>
        <w:tc>
          <w:tcPr>
            <w:tcW w:type="dxa" w:w="4961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Ожидаемый результат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T-13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Двойное подтверждение и повтор задания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Одна бизнес-операция и возврат её сохранённого результата.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T-14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Изменение параметров после подтверждения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Запрос подтверждения новой версии с отображением изменений.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T-15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Изменение целевой записи другим сотрудником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Конфликт версии, актуальные данные и повторная проверка сотрудником.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T-16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Обрыв связи после записи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Сверка результата по ключу операции и корректный итоговый статус.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T-17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Отзыв права согласующего или владельца правила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Соответствующее исполнение останавливается до проверки полномочий.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T-18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Повтор события и цепочка своих уведомлений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Ограничение повторов, частоты и глубины обработки по политике правила.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T-19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Подмена пользователя бота и отзыв связи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Доступ разрешается только при действующей подтверждённой привязке.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T-20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Координатор: ошибка специалиста и лимит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Проверяемый частичный итог; единый учёт ресурсов и источников.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T-21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Координатор: область дочерней задачи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Полномочия подзадачи сохраняются в пределах исходной области.</w:t>
            </w:r>
          </w:p>
        </w:tc>
      </w:tr>
      <w:tr>
        <w:trPr>
          <w:cantSplit/>
        </w:trPr>
        <w:tc>
          <w:tcPr>
            <w:tcW w:type="dxa" w:w="76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T-22</w:t>
            </w:r>
          </w:p>
        </w:tc>
        <w:tc>
          <w:tcPr>
            <w:tcW w:type="dxa" w:w="402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Восстановление из резервной копии</w:t>
            </w:r>
          </w:p>
        </w:tc>
        <w:tc>
          <w:tcPr>
            <w:tcW w:type="dxa" w:w="4961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Состояние, документы и действия восстановлены; результат сверки отражён в протоколе.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18.2. Передаваемые материалы</w:t>
      </w:r>
    </w:p>
    <w:p>
      <w:r>
        <w:t>Передать исходный код, конфигурации пяти профилей и координатора принятой очереди, схемы и миграции данных, спецификацию API, каталог инструментов, автоматизированные тесты, контрольные данные, инструкции сборки и развёртывания.</w:t>
      </w:r>
    </w:p>
    <w:p>
      <w:r>
        <w:t>Передать конфигурацию наблюдаемости, резервирования, хранения и лимитов; руководство администратора и пользователя; результаты испытаний; реестр зависимостей и лицензий; журнал архитектурных решений и описание эксплуатационных рисков.</w:t>
      </w:r>
    </w:p>
    <w:p>
      <w:r>
        <w:t>Административные учётные записи, проекты у поставщиков API и секреты передаются под управление заказчика по защищённой процедуре. Права на результаты разработки и условия сопровождения закрепляются в договоре.</w:t>
      </w:r>
    </w:p>
    <w:p>
      <w:pPr>
        <w:pStyle w:val="Heading2"/>
      </w:pPr>
      <w:r>
        <w:t>18.3. Проверка комплектности</w:t>
      </w:r>
    </w:p>
    <w:p>
      <w:r>
        <w:t>Технический представитель заказчика по переданным материалам разворачивает согласованную поставку на чистой тестовой среде, запускает проверки и выполняет контрольный пользовательский сценарий. Все использованные параметры и команды должны быть воспроизводимы.</w:t>
      </w:r>
    </w:p>
    <w:p>
      <w:r>
        <w:t>Базовая поставка считается принятой после завершения очереди А и передачи её материалов. Очереди Б, В и Г принимаются самостоятельно по относящимся к ним требованиям и испытаниям.</w:t>
      </w:r>
    </w:p>
    <w:p>
      <w:r>
        <w:br w:type="page"/>
      </w:r>
    </w:p>
    <w:p>
      <w:pPr>
        <w:pStyle w:val="Heading1"/>
      </w:pPr>
      <w:r>
        <w:t>19. Проектная документация и технические источники</w:t>
      </w:r>
    </w:p>
    <w:p>
      <w:pPr>
        <w:pStyle w:val="Heading2"/>
      </w:pPr>
      <w:r>
        <w:t>19.1. Документы, которые ведёт исполнитель</w:t>
      </w:r>
    </w:p>
    <w:p>
      <w:r>
        <w:t>Каждое принятое проектное решение фиксируется в документации и связывается с реализацией. Использовать существующие разделы репозитория либо согласовать следующие документы.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5DBE0"/>
          <w:left w:val="single" w:sz="4" w:color="D5DBE0"/>
          <w:bottom w:val="single" w:sz="4" w:color="D5DBE0"/>
          <w:right w:val="single" w:sz="4" w:color="D5DBE0"/>
          <w:insideH w:val="single" w:sz="4" w:color="D5DBE0"/>
          <w:insideV w:val="single" w:sz="4" w:color="D5DBE0"/>
        </w:tblBorders>
        <w:tblCellMar>
          <w:top w:w="65" w:type="dxa"/>
          <w:bottom w:w="65" w:type="dxa"/>
          <w:left w:w="90" w:type="dxa"/>
          <w:right w:w="90" w:type="dxa"/>
        </w:tblCellMar>
      </w:tblPr>
      <w:tblGrid>
        <w:gridCol w:w="2835"/>
        <w:gridCol w:w="6917"/>
      </w:tblGrid>
      <w:tr>
        <w:trPr>
          <w:cantSplit/>
          <w:tblHeader/>
        </w:trPr>
        <w:tc>
          <w:tcPr>
            <w:tcW w:type="dxa" w:w="2835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Документ</w:t>
            </w:r>
          </w:p>
        </w:tc>
        <w:tc>
          <w:tcPr>
            <w:tcW w:type="dxa" w:w="6917"/>
            <w:vAlign w:val="center"/>
            <w:shd w:fill="EEF2F5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b/>
                <w:color w:val="17354B"/>
                <w:sz w:val="18"/>
              </w:rPr>
              <w:t>Обязательное содержание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Архитектура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Компоненты, доверенные области, размещение, потоки данных, выбранные технологии и версии.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Сценарии и интерфейс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15 предметных сценариев, состояния экранов, контекстная панель, ошибки, источники и подтверждения.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Матрица доступа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Группы, компании, роли, объекты, поля, агрегаты, история и отзыв полномочий.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Каталог инструментов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Контракты, права, лимиты, эффекты, ключи операций, условия повтора и тесты.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Данные и API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Сущности, миграции, маршруты, форматы, состояния, восстановление и совместимость.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Программа и протокол испытаний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Контрольные примеры, среда, нормативы, ожидаемые и фактические результаты, замечания.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Эксплуатация и работа с данными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Секреты, лимиты, мониторинг, резервирование, сроки хранения, маскирование и условия внешней обработки.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Журнал решений</w:t>
            </w:r>
          </w:p>
        </w:tc>
        <w:tc>
          <w:tcPr>
            <w:tcW w:type="dxa" w:w="6917"/>
            <w:vAlign w:val="center"/>
          </w:tcPr>
          <w:p>
            <w:pPr>
              <w:spacing w:after="0" w:before="0" w:line="247" w:lineRule="auto"/>
            </w:pPr>
            <w:r>
              <w:rPr>
                <w:rFonts w:ascii="Arial" w:hAnsi="Arial"/>
                <w:sz w:val="18"/>
              </w:rPr>
              <w:t>Вопрос, принятое решение, основание, ответственный, дата и связанные требования.</w:t>
            </w:r>
          </w:p>
        </w:tc>
      </w:tr>
    </w:tbl>
    <w:p>
      <w:pPr>
        <w:spacing w:after="40" w:before="0" w:line="240" w:lineRule="auto"/>
        <w:rPr>
          <w:sz w:val="4"/>
        </w:rPr>
      </w:pPr>
    </w:p>
    <w:p>
      <w:pPr>
        <w:pStyle w:val="Heading2"/>
      </w:pPr>
      <w:r>
        <w:t>19.2. Технические источники</w:t>
      </w:r>
    </w:p>
    <w:p>
      <w:r>
        <w:rPr>
          <w:sz w:val="19"/>
        </w:rPr>
        <w:t>Материалы для реализации и проверки отдельных технических механизмов. Проверены 8 сентября 2026 года. Состав поставки и критерии приёмки определены разделами настоящего ТЗ.</w:t>
      </w:r>
    </w:p>
    <w:p>
      <w:pPr>
        <w:spacing w:after="80"/>
      </w:pPr>
      <w:hyperlink r:id="rId11">
        <w:r>
          <w:rPr>
            <w:color w:val="17354B"/>
            <w:u w:val="single"/>
          </w:rPr>
          <w:t>[1] OWASP — Multi-Tenant Application Security</w:t>
        </w:r>
      </w:hyperlink>
      <w:r>
        <w:rPr>
          <w:sz w:val="18"/>
        </w:rPr>
        <w:t>. Проверенный контекст и изоляция областей данных.</w:t>
      </w:r>
    </w:p>
    <w:p>
      <w:pPr>
        <w:spacing w:after="80"/>
      </w:pPr>
      <w:hyperlink r:id="rId12">
        <w:r>
          <w:rPr>
            <w:color w:val="17354B"/>
            <w:u w:val="single"/>
          </w:rPr>
          <w:t>[2] OpenAI Agents SDK — Agents</w:t>
        </w:r>
      </w:hyperlink>
      <w:r>
        <w:rPr>
          <w:sz w:val="18"/>
        </w:rPr>
        <w:t>. Профили, инструменты и составные вызовы агентов.</w:t>
      </w:r>
    </w:p>
    <w:p>
      <w:pPr>
        <w:spacing w:after="80"/>
      </w:pPr>
      <w:hyperlink r:id="rId13">
        <w:r>
          <w:rPr>
            <w:color w:val="17354B"/>
            <w:u w:val="single"/>
          </w:rPr>
          <w:t>[3] OWASP — AI Agent Security</w:t>
        </w:r>
      </w:hyperlink>
      <w:r>
        <w:rPr>
          <w:sz w:val="18"/>
        </w:rPr>
        <w:t>. Защита инструментов, данных и исполнения действий.</w:t>
      </w:r>
    </w:p>
    <w:p>
      <w:pPr>
        <w:spacing w:after="80"/>
      </w:pPr>
      <w:hyperlink r:id="rId14">
        <w:r>
          <w:rPr>
            <w:color w:val="17354B"/>
            <w:u w:val="single"/>
          </w:rPr>
          <w:t>[4] OpenAI Agents SDK — Human-in-the-loop</w:t>
        </w:r>
      </w:hyperlink>
      <w:r>
        <w:rPr>
          <w:sz w:val="18"/>
        </w:rPr>
        <w:t>. Приостановка и возобновление при согласовании.</w:t>
      </w:r>
    </w:p>
    <w:p>
      <w:pPr>
        <w:spacing w:after="80"/>
      </w:pPr>
      <w:hyperlink r:id="rId15">
        <w:r>
          <w:rPr>
            <w:color w:val="17354B"/>
            <w:u w:val="single"/>
          </w:rPr>
          <w:t>[5] BullMQ — Idempotent jobs</w:t>
        </w:r>
      </w:hyperlink>
      <w:r>
        <w:rPr>
          <w:sz w:val="18"/>
        </w:rPr>
        <w:t>. Повторяемое исполнение с единым бизнес-результатом.</w:t>
      </w:r>
    </w:p>
    <w:p>
      <w:pPr>
        <w:spacing w:after="80"/>
      </w:pPr>
      <w:hyperlink r:id="rId16">
        <w:r>
          <w:rPr>
            <w:color w:val="17354B"/>
            <w:u w:val="single"/>
          </w:rPr>
          <w:t>[6] OpenAI API — Data controls</w:t>
        </w:r>
      </w:hyperlink>
      <w:r>
        <w:rPr>
          <w:sz w:val="18"/>
        </w:rPr>
        <w:t>. Условия обработки, состояния запросов и журналов.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134" w:header="425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Техническое задание  • 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4" w:color="CDD5DC"/>
      </w:pBdr>
    </w:pPr>
    <w:r>
      <w:t>SMARTDEPO  |  ИИ-ПОМОЩНИКИ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20262D"/>
      <w:sz w:val="21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606A73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606A7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8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735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7354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7354B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  <w:color w:val="20262D"/>
      <w:sz w:val="21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52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54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80" w:line="252" w:lineRule="auto"/>
    </w:pPr>
    <w:rPr>
      <w:rFonts w:asciiTheme="majorHAnsi" w:eastAsiaTheme="majorEastAsia" w:hAnsiTheme="majorHAnsi" w:cstheme="majorBidi" w:ascii="Arial" w:hAnsi="Arial"/>
      <w:b w:val="0"/>
      <w:i/>
      <w:iCs/>
      <w:color w:val="424A5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widowControl/>
      <w:spacing w:after="100" w:line="259" w:lineRule="auto"/>
    </w:pPr>
    <w:rPr>
      <w:rFonts w:ascii="Arial" w:hAnsi="Arial"/>
      <w:color w:val="20262D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606A73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heatsheetseries.owasp.org/cheatsheets/Multi_Tenant_Security_Cheat_Sheet.html" TargetMode="External"/><Relationship Id="rId12" Type="http://schemas.openxmlformats.org/officeDocument/2006/relationships/hyperlink" Target="https://openai.github.io/openai-agents-js/guides/agents/" TargetMode="External"/><Relationship Id="rId13" Type="http://schemas.openxmlformats.org/officeDocument/2006/relationships/hyperlink" Target="https://cheatsheetseries.owasp.org/cheatsheets/AI_Agent_Security_Cheat_Sheet.html" TargetMode="External"/><Relationship Id="rId14" Type="http://schemas.openxmlformats.org/officeDocument/2006/relationships/hyperlink" Target="https://openai.github.io/openai-agents-js/guides/human-in-the-loop/" TargetMode="External"/><Relationship Id="rId15" Type="http://schemas.openxmlformats.org/officeDocument/2006/relationships/hyperlink" Target="https://docs.bullmq.io/patterns/idempotent-jobs" TargetMode="External"/><Relationship Id="rId16" Type="http://schemas.openxmlformats.org/officeDocument/2006/relationships/hyperlink" Target="https://developers.openai.com/api/docs/guides/your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задание. Модуль ИИ-помощников платформы Smartdepo</dc:title>
  <dc:subject>Требования к разработке для внешнего исполнителя</dc:subject>
  <dc:creator>Smartdepo</dc:creator>
  <cp:keywords>Smartdepo, ИИ-помощники, техническое задание, группы компаний, компании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