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ТЕХНИЧЕСКОЕ ЗАДАНИЕ</w:t>
        <w:br/>
        <w:t>на разработку AI-модуля генерации инструктажей, тестов и видео-инструктажей</w:t>
        <w:br/>
        <w:t>для платформы SkillPass</w:t>
      </w:r>
    </w:p>
    <w:p>
      <w:pPr>
        <w:jc w:val="center"/>
      </w:pPr>
      <w:r>
        <w:t>Структура по ГОСТ 34.602-2020; формулировки требований — по ISO/IEC/IEEE 29148. Версия 1.0, 05.11.2026.</w:t>
      </w:r>
    </w:p>
    <w:p>
      <w:pPr>
        <w:pStyle w:val="Heading1"/>
      </w:pPr>
      <w: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6803"/>
          </w:tcPr>
          <w:p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551"/>
          </w:tcPr>
          <w:p>
            <w:r>
              <w:t>Заказчик</w:t>
            </w:r>
          </w:p>
        </w:tc>
        <w:tc>
          <w:tcPr>
            <w:tcW w:type="dxa" w:w="6803"/>
          </w:tcPr>
          <w:p>
            <w:r>
              <w:t>ТОО «AKE Group» (БИН 181240015736), г. Алматы</w:t>
            </w:r>
          </w:p>
        </w:tc>
      </w:tr>
      <w:tr>
        <w:tc>
          <w:tcPr>
            <w:tcW w:type="dxa" w:w="2551"/>
          </w:tcPr>
          <w:p>
            <w:r>
              <w:t>Продукт заказчика</w:t>
            </w:r>
          </w:p>
        </w:tc>
        <w:tc>
          <w:tcPr>
            <w:tcW w:type="dxa" w:w="6803"/>
          </w:tcPr>
          <w:p>
            <w:r>
              <w:t>SkillPass — B2B/B2G SaaS для обязательного обучения и документооборота по охране труда, пожарной безопасности, антитеррористической защищённости, санитарным нормам</w:t>
            </w:r>
          </w:p>
        </w:tc>
      </w:tr>
      <w:tr>
        <w:tc>
          <w:tcPr>
            <w:tcW w:type="dxa" w:w="2551"/>
          </w:tcPr>
          <w:p>
            <w:r>
              <w:t>Наименование работы</w:t>
            </w:r>
          </w:p>
        </w:tc>
        <w:tc>
          <w:tcPr>
            <w:tcW w:type="dxa" w:w="6803"/>
          </w:tcPr>
          <w:p>
            <w:r>
              <w:t>AI-модуль генерации инструктажей, тестов и видео-инструктажей (далее — Модуль)</w:t>
            </w:r>
          </w:p>
        </w:tc>
      </w:tr>
      <w:tr>
        <w:tc>
          <w:tcPr>
            <w:tcW w:type="dxa" w:w="2551"/>
          </w:tcPr>
          <w:p>
            <w:r>
              <w:t>Исполнитель</w:t>
            </w:r>
          </w:p>
        </w:tc>
        <w:tc>
          <w:tcPr>
            <w:tcW w:type="dxa" w:w="6803"/>
          </w:tcPr>
          <w:p>
            <w:r>
              <w:t>IT-компания/стартап, выбираемый по результатам отбора откликов</w:t>
            </w:r>
          </w:p>
        </w:tc>
      </w:tr>
      <w:tr>
        <w:tc>
          <w:tcPr>
            <w:tcW w:type="dxa" w:w="2551"/>
          </w:tcPr>
          <w:p>
            <w:r>
              <w:t>Формат реализации</w:t>
            </w:r>
          </w:p>
        </w:tc>
        <w:tc>
          <w:tcPr>
            <w:tcW w:type="dxa" w:w="6803"/>
          </w:tcPr>
          <w:p>
            <w:r>
              <w:t>Разработка и интеграция в действующую платформу заказчика через API; передача прав на результат по договору</w:t>
            </w:r>
          </w:p>
        </w:tc>
      </w:tr>
      <w:tr>
        <w:tc>
          <w:tcPr>
            <w:tcW w:type="dxa" w:w="2551"/>
          </w:tcPr>
          <w:p>
            <w:r>
              <w:t>Основание</w:t>
            </w:r>
          </w:p>
        </w:tc>
        <w:tc>
          <w:tcPr>
            <w:tcW w:type="dxa" w:w="6803"/>
          </w:tcPr>
          <w:p>
            <w:r>
              <w:t>Внутренняя потребность заказчика в масштабировании подготовки контента</w:t>
            </w:r>
          </w:p>
        </w:tc>
      </w:tr>
      <w:tr>
        <w:tc>
          <w:tcPr>
            <w:tcW w:type="dxa" w:w="2551"/>
          </w:tcPr>
          <w:p>
            <w:r>
              <w:t>Ответственный</w:t>
            </w:r>
          </w:p>
        </w:tc>
        <w:tc>
          <w:tcPr>
            <w:tcW w:type="dxa" w:w="6803"/>
          </w:tcPr>
          <w:p>
            <w:r>
              <w:t>Алиманов Аслан, Product Owner, skillpass.aslan@gmail.com</w:t>
            </w:r>
          </w:p>
        </w:tc>
      </w:tr>
    </w:tbl>
    <w:p/>
    <w:p>
      <w:pPr>
        <w:pStyle w:val="Heading1"/>
      </w:pPr>
      <w:r>
        <w:t>2. Назначение и цели</w:t>
      </w:r>
    </w:p>
    <w:p>
      <w:r>
        <w:t>Проблема: методисты готовят инструктажи, программы и тесты вручную под каждую организацию и должность, видео снимаются отдельно. Это долго, дорого, плохо масштабируется и затрудняет актуализацию при изменении НПА РК и выпуск материалов на казахском языке.</w:t>
      </w:r>
    </w:p>
    <w:p>
      <w:r>
        <w:t>Цель: сократить трудоёмкость подготовки обучающего контента и обеспечить единое качество материалов на русском и казахском языках при обязательном утверждении человеком.</w:t>
      </w:r>
    </w:p>
    <w:p>
      <w:r>
        <w:t>Целевые показатели (достигаются на пилоте, значения уточняются на этапе 1):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Показатель</w:t>
            </w:r>
          </w:p>
        </w:tc>
        <w:tc>
          <w:tcPr>
            <w:tcW w:type="dxa" w:w="3402"/>
          </w:tcPr>
          <w:p>
            <w:r/>
            <w:r>
              <w:rPr>
                <w:b/>
              </w:rPr>
              <w:t>Целевое значение</w:t>
            </w:r>
          </w:p>
        </w:tc>
      </w:tr>
      <w:tr>
        <w:tc>
          <w:tcPr>
            <w:tcW w:type="dxa" w:w="680"/>
          </w:tcPr>
          <w:p>
            <w:r>
              <w:t>Ц1</w:t>
            </w:r>
          </w:p>
        </w:tc>
        <w:tc>
          <w:tcPr>
            <w:tcW w:type="dxa" w:w="5102"/>
          </w:tcPr>
          <w:p>
            <w:r>
              <w:t>Время подготовки одного инструктажа (черновик, готовый к проверке)</w:t>
            </w:r>
          </w:p>
        </w:tc>
        <w:tc>
          <w:tcPr>
            <w:tcW w:type="dxa" w:w="3402"/>
          </w:tcPr>
          <w:p>
            <w:r>
              <w:t>≤ 5 мин против текущих часов ручной работы</w:t>
            </w:r>
          </w:p>
        </w:tc>
      </w:tr>
      <w:tr>
        <w:tc>
          <w:tcPr>
            <w:tcW w:type="dxa" w:w="680"/>
          </w:tcPr>
          <w:p>
            <w:r>
              <w:t>Ц2</w:t>
            </w:r>
          </w:p>
        </w:tc>
        <w:tc>
          <w:tcPr>
            <w:tcW w:type="dxa" w:w="5102"/>
          </w:tcPr>
          <w:p>
            <w:r>
              <w:t>Доля материалов, утверждённых методистом без существенных правок (изменено ≤ 20% текста)</w:t>
            </w:r>
          </w:p>
        </w:tc>
        <w:tc>
          <w:tcPr>
            <w:tcW w:type="dxa" w:w="3402"/>
          </w:tcPr>
          <w:p>
            <w:r>
              <w:t>≥ 85% на контрольной выборке</w:t>
            </w:r>
          </w:p>
        </w:tc>
      </w:tr>
      <w:tr>
        <w:tc>
          <w:tcPr>
            <w:tcW w:type="dxa" w:w="680"/>
          </w:tcPr>
          <w:p>
            <w:r>
              <w:t>Ц3</w:t>
            </w:r>
          </w:p>
        </w:tc>
        <w:tc>
          <w:tcPr>
            <w:tcW w:type="dxa" w:w="5102"/>
          </w:tcPr>
          <w:p>
            <w:r>
              <w:t>Доля тестовых вопросов, признанных экспертами корректными</w:t>
            </w:r>
          </w:p>
        </w:tc>
        <w:tc>
          <w:tcPr>
            <w:tcW w:type="dxa" w:w="3402"/>
          </w:tcPr>
          <w:p>
            <w:r>
              <w:t>≥ 95%</w:t>
            </w:r>
          </w:p>
        </w:tc>
      </w:tr>
      <w:tr>
        <w:tc>
          <w:tcPr>
            <w:tcW w:type="dxa" w:w="680"/>
          </w:tcPr>
          <w:p>
            <w:r>
              <w:t>Ц4</w:t>
            </w:r>
          </w:p>
        </w:tc>
        <w:tc>
          <w:tcPr>
            <w:tcW w:type="dxa" w:w="5102"/>
          </w:tcPr>
          <w:p>
            <w:r>
              <w:t>Время подготовки видео-инструктажа длительностью 3 мин</w:t>
            </w:r>
          </w:p>
        </w:tc>
        <w:tc>
          <w:tcPr>
            <w:tcW w:type="dxa" w:w="3402"/>
          </w:tcPr>
          <w:p>
            <w:r>
              <w:t>≤ 10 мин (p95)</w:t>
            </w:r>
          </w:p>
        </w:tc>
      </w:tr>
      <w:tr>
        <w:tc>
          <w:tcPr>
            <w:tcW w:type="dxa" w:w="680"/>
          </w:tcPr>
          <w:p>
            <w:r>
              <w:t>Ц5</w:t>
            </w:r>
          </w:p>
        </w:tc>
        <w:tc>
          <w:tcPr>
            <w:tcW w:type="dxa" w:w="5102"/>
          </w:tcPr>
          <w:p>
            <w:r>
              <w:t>Доля утверждений в тексте со ссылкой на пункт нормативного акта</w:t>
            </w:r>
          </w:p>
        </w:tc>
        <w:tc>
          <w:tcPr>
            <w:tcW w:type="dxa" w:w="3402"/>
          </w:tcPr>
          <w:p>
            <w:r>
              <w:t>100% для нормативных требований</w:t>
            </w:r>
          </w:p>
        </w:tc>
      </w:tr>
    </w:tbl>
    <w:p/>
    <w:p>
      <w:pPr>
        <w:pStyle w:val="Heading1"/>
      </w:pPr>
      <w:r>
        <w:t>3. Характеристика объекта автоматизации</w:t>
      </w:r>
    </w:p>
    <w:p>
      <w:pPr>
        <w:pStyle w:val="ListBullet"/>
      </w:pPr>
      <w:r>
        <w:t>Платформа SkillPass: 400+ организаций-клиентов в РК и СНГ, внедрения в государственных организациях.</w:t>
      </w:r>
    </w:p>
    <w:p>
      <w:pPr>
        <w:pStyle w:val="ListBullet"/>
      </w:pPr>
      <w:r>
        <w:t>Backend платформы на Go, размещение в РК (серверы на территории Казахстана).</w:t>
      </w:r>
    </w:p>
    <w:p>
      <w:pPr>
        <w:pStyle w:val="ListBullet"/>
      </w:pPr>
      <w:r>
        <w:t>Интеграции: ГБД ФЛ/ЮЛ, портал госзакупок, stat.gov.kz, NCALayer (ЭЦП).</w:t>
      </w:r>
    </w:p>
    <w:p>
      <w:pPr>
        <w:pStyle w:val="ListBullet"/>
      </w:pPr>
      <w:r>
        <w:t>Языки интерфейса и контента: русский, казахский.</w:t>
      </w:r>
    </w:p>
    <w:p>
      <w:pPr>
        <w:pStyle w:val="ListBullet"/>
      </w:pPr>
      <w:r>
        <w:t>Уже используется ИИ для генерации и анализа инструкций; Модуль должен расширить это на тесты и видео и вынести в отдельный сервис с API.</w:t>
      </w:r>
    </w:p>
    <w:p>
      <w:pPr>
        <w:pStyle w:val="Heading1"/>
      </w:pPr>
      <w:r>
        <w:t>4. Область работ (границы)</w:t>
      </w:r>
    </w:p>
    <w:p>
      <w:r>
        <w:t>В объёме: разработка Модуля, API, панели проверки и утверждения, интеграция с SkillPass, пилот, документация, передача.</w:t>
      </w:r>
    </w:p>
    <w:p>
      <w:r>
        <w:t>Вне объёма: разработка самой платформы SkillPass, мобильных приложений, закупка лицензий заказчиком на сторонние модели (если не оговорено в отклике), юридическая экспертиза НПА.</w:t>
      </w:r>
    </w:p>
    <w:p>
      <w:pPr>
        <w:pStyle w:val="Heading1"/>
      </w:pPr>
      <w:r>
        <w:t>5. Требования к Модулю</w:t>
      </w:r>
    </w:p>
    <w:p>
      <w:pPr>
        <w:pStyle w:val="Heading2"/>
      </w:pPr>
      <w:r>
        <w:t>5.1. Функциональные требования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85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7370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Приоритет</w:t>
            </w:r>
          </w:p>
        </w:tc>
      </w:tr>
      <w:tr>
        <w:tc>
          <w:tcPr>
            <w:tcW w:type="dxa" w:w="850"/>
          </w:tcPr>
          <w:p>
            <w:r>
              <w:t>FR-1</w:t>
            </w:r>
          </w:p>
        </w:tc>
        <w:tc>
          <w:tcPr>
            <w:tcW w:type="dxa" w:w="7370"/>
          </w:tcPr>
          <w:p>
            <w:r>
              <w:t>Генерация текста инструктажа по входным параметрам: вид инструктажа (вводный, первичный, повторный, внеплановый, целевой), отрасль, должность/профессия, условия труда, язык (RU/KZ).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FR-2</w:t>
            </w:r>
          </w:p>
        </w:tc>
        <w:tc>
          <w:tcPr>
            <w:tcW w:type="dxa" w:w="7370"/>
          </w:tcPr>
          <w:p>
            <w:r>
              <w:t>Генерация программы обучения (темы, часы, формы контроля) по входным параметрам и перечню применимых НПА РК.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FR-3</w:t>
            </w:r>
          </w:p>
        </w:tc>
        <w:tc>
          <w:tcPr>
            <w:tcW w:type="dxa" w:w="7370"/>
          </w:tcPr>
          <w:p>
            <w:r>
              <w:t>Привязка утверждений к источнику: каждый нормативный тезис содержит ссылку на НПА и пункт; при отсутствии источника в базе знаний тезис помечается как непроверенный.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FR-4</w:t>
            </w:r>
          </w:p>
        </w:tc>
        <w:tc>
          <w:tcPr>
            <w:tcW w:type="dxa" w:w="7370"/>
          </w:tcPr>
          <w:p>
            <w:r>
              <w:t>Генерация тестов: не менее 4 типов (один/несколько вариантов, верно/неверно, соответствие, ситуационный кейс); сложность 3 уровня; 1–50 вопросов за запрос; объяснение верного ответа; привязка вопроса к разделу инструктажа.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FR-5</w:t>
            </w:r>
          </w:p>
        </w:tc>
        <w:tc>
          <w:tcPr>
            <w:tcW w:type="dxa" w:w="7370"/>
          </w:tcPr>
          <w:p>
            <w:r>
              <w:t>Генерация видео-инструктажа из утверждённого текста: сценарий по сценам, озвучка (синтез речи RU/KZ), субтитры, слайды/визуализация, опционально AI-диктор; экспорт MP4 (1080p, H.264) и SRT.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FR-6</w:t>
            </w:r>
          </w:p>
        </w:tc>
        <w:tc>
          <w:tcPr>
            <w:tcW w:type="dxa" w:w="7370"/>
          </w:tcPr>
          <w:p>
            <w:r>
              <w:t>Рабочий процесс: черновик → редактирование → утверждение методистом → публикация. Статусы, история версий, сравнение версий, откат.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FR-7</w:t>
            </w:r>
          </w:p>
        </w:tc>
        <w:tc>
          <w:tcPr>
            <w:tcW w:type="dxa" w:w="7370"/>
          </w:tcPr>
          <w:p>
            <w:r>
              <w:t>Актуализация: при обновлении НПА в базе знаний Модуль формирует список материалов, затронутых изменением, и предлагает правки.</w:t>
            </w:r>
          </w:p>
        </w:tc>
        <w:tc>
          <w:tcPr>
            <w:tcW w:type="dxa" w:w="1020"/>
          </w:tcPr>
          <w:p>
            <w:r>
              <w:t>Should</w:t>
            </w:r>
          </w:p>
        </w:tc>
      </w:tr>
      <w:tr>
        <w:tc>
          <w:tcPr>
            <w:tcW w:type="dxa" w:w="850"/>
          </w:tcPr>
          <w:p>
            <w:r>
              <w:t>FR-8</w:t>
            </w:r>
          </w:p>
        </w:tc>
        <w:tc>
          <w:tcPr>
            <w:tcW w:type="dxa" w:w="7370"/>
          </w:tcPr>
          <w:p>
            <w:r>
              <w:t>Двуязычность: генерация на RU и KZ как из одного источника, так и независимо; проверка согласованности RU/KZ версий.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FR-9</w:t>
            </w:r>
          </w:p>
        </w:tc>
        <w:tc>
          <w:tcPr>
            <w:tcW w:type="dxa" w:w="7370"/>
          </w:tcPr>
          <w:p>
            <w:r>
              <w:t>Загрузка собственных документов организации (PDF, DOCX) как контекста для генерации.</w:t>
            </w:r>
          </w:p>
        </w:tc>
        <w:tc>
          <w:tcPr>
            <w:tcW w:type="dxa" w:w="1020"/>
          </w:tcPr>
          <w:p>
            <w:r>
              <w:t>Should</w:t>
            </w:r>
          </w:p>
        </w:tc>
      </w:tr>
      <w:tr>
        <w:tc>
          <w:tcPr>
            <w:tcW w:type="dxa" w:w="850"/>
          </w:tcPr>
          <w:p>
            <w:r>
              <w:t>FR-10</w:t>
            </w:r>
          </w:p>
        </w:tc>
        <w:tc>
          <w:tcPr>
            <w:tcW w:type="dxa" w:w="7370"/>
          </w:tcPr>
          <w:p>
            <w:r>
              <w:t>Асинхронные задачи: очередь, статус, отмена, повторный запуск, webhook о завершении.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FR-11</w:t>
            </w:r>
          </w:p>
        </w:tc>
        <w:tc>
          <w:tcPr>
            <w:tcW w:type="dxa" w:w="7370"/>
          </w:tcPr>
          <w:p>
            <w:r>
              <w:t>Журнал аудита: кто, когда, какие параметры, какая версия модели, какой результат утверждён.</w:t>
            </w:r>
          </w:p>
        </w:tc>
        <w:tc>
          <w:tcPr>
            <w:tcW w:type="dxa" w:w="1020"/>
          </w:tcPr>
          <w:p>
            <w:r>
              <w:t>Must</w:t>
            </w:r>
          </w:p>
        </w:tc>
      </w:tr>
      <w:tr>
        <w:tc>
          <w:tcPr>
            <w:tcW w:type="dxa" w:w="850"/>
          </w:tcPr>
          <w:p>
            <w:r>
              <w:t>FR-12</w:t>
            </w:r>
          </w:p>
        </w:tc>
        <w:tc>
          <w:tcPr>
            <w:tcW w:type="dxa" w:w="7370"/>
          </w:tcPr>
          <w:p>
            <w:r>
              <w:t>Пакетная генерация (до 100 материалов за задачу).</w:t>
            </w:r>
          </w:p>
        </w:tc>
        <w:tc>
          <w:tcPr>
            <w:tcW w:type="dxa" w:w="1020"/>
          </w:tcPr>
          <w:p>
            <w:r>
              <w:t>Could</w:t>
            </w:r>
          </w:p>
        </w:tc>
      </w:tr>
    </w:tbl>
    <w:p/>
    <w:p>
      <w:pPr>
        <w:pStyle w:val="Heading2"/>
      </w:pPr>
      <w:r>
        <w:t>5.2. Требования к качеству 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85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4535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3855"/>
          </w:tcPr>
          <w:p>
            <w:r/>
            <w:r>
              <w:rPr>
                <w:b/>
              </w:rPr>
              <w:t>Метод проверки</w:t>
            </w:r>
          </w:p>
        </w:tc>
      </w:tr>
      <w:tr>
        <w:tc>
          <w:tcPr>
            <w:tcW w:type="dxa" w:w="850"/>
          </w:tcPr>
          <w:p>
            <w:r>
              <w:t>AI-1</w:t>
            </w:r>
          </w:p>
        </w:tc>
        <w:tc>
          <w:tcPr>
            <w:tcW w:type="dxa" w:w="4535"/>
          </w:tcPr>
          <w:p>
            <w:r>
              <w:t>Фактическая точность нормативных тезисов ≥ 95%</w:t>
            </w:r>
          </w:p>
        </w:tc>
        <w:tc>
          <w:tcPr>
            <w:tcW w:type="dxa" w:w="3855"/>
          </w:tcPr>
          <w:p>
            <w:r>
              <w:t>Экспертная оценка выборки ≥ 200 материалов (по 50 на вид: ОТ, ПБ, АТЗ, санитария)</w:t>
            </w:r>
          </w:p>
        </w:tc>
      </w:tr>
      <w:tr>
        <w:tc>
          <w:tcPr>
            <w:tcW w:type="dxa" w:w="850"/>
          </w:tcPr>
          <w:p>
            <w:r>
              <w:t>AI-2</w:t>
            </w:r>
          </w:p>
        </w:tc>
        <w:tc>
          <w:tcPr>
            <w:tcW w:type="dxa" w:w="4535"/>
          </w:tcPr>
          <w:p>
            <w:r>
              <w:t>Критичные ошибки (неверная норма, угроза безопасности) = 0 в утверждённой выборке</w:t>
            </w:r>
          </w:p>
        </w:tc>
        <w:tc>
          <w:tcPr>
            <w:tcW w:type="dxa" w:w="3855"/>
          </w:tcPr>
          <w:p>
            <w:r>
              <w:t>Экспертная оценка</w:t>
            </w:r>
          </w:p>
        </w:tc>
      </w:tr>
      <w:tr>
        <w:tc>
          <w:tcPr>
            <w:tcW w:type="dxa" w:w="850"/>
          </w:tcPr>
          <w:p>
            <w:r>
              <w:t>AI-3</w:t>
            </w:r>
          </w:p>
        </w:tc>
        <w:tc>
          <w:tcPr>
            <w:tcW w:type="dxa" w:w="4535"/>
          </w:tcPr>
          <w:p>
            <w:r>
              <w:t>Качество казахского языка ≥ 4,0 из 5 по шкале экспертов-носителей</w:t>
            </w:r>
          </w:p>
        </w:tc>
        <w:tc>
          <w:tcPr>
            <w:tcW w:type="dxa" w:w="3855"/>
          </w:tcPr>
          <w:p>
            <w:r>
              <w:t>Панель ≥ 3 экспертов</w:t>
            </w:r>
          </w:p>
        </w:tc>
      </w:tr>
      <w:tr>
        <w:tc>
          <w:tcPr>
            <w:tcW w:type="dxa" w:w="850"/>
          </w:tcPr>
          <w:p>
            <w:r>
              <w:t>AI-4</w:t>
            </w:r>
          </w:p>
        </w:tc>
        <w:tc>
          <w:tcPr>
            <w:tcW w:type="dxa" w:w="4535"/>
          </w:tcPr>
          <w:p>
            <w:r>
              <w:t>Качество синтеза речи (RU/KZ) ≥ 4,0 по MOS</w:t>
            </w:r>
          </w:p>
        </w:tc>
        <w:tc>
          <w:tcPr>
            <w:tcW w:type="dxa" w:w="3855"/>
          </w:tcPr>
          <w:p>
            <w:r>
              <w:t>Прослушивание ≥ 20 образцов</w:t>
            </w:r>
          </w:p>
        </w:tc>
      </w:tr>
      <w:tr>
        <w:tc>
          <w:tcPr>
            <w:tcW w:type="dxa" w:w="850"/>
          </w:tcPr>
          <w:p>
            <w:r>
              <w:t>AI-5</w:t>
            </w:r>
          </w:p>
        </w:tc>
        <w:tc>
          <w:tcPr>
            <w:tcW w:type="dxa" w:w="4535"/>
          </w:tcPr>
          <w:p>
            <w:r>
              <w:t>Рассинхрон субтитров и звука ≤ 0,3 с</w:t>
            </w:r>
          </w:p>
        </w:tc>
        <w:tc>
          <w:tcPr>
            <w:tcW w:type="dxa" w:w="3855"/>
          </w:tcPr>
          <w:p>
            <w:r>
              <w:t>Автоматическая проверка</w:t>
            </w:r>
          </w:p>
        </w:tc>
      </w:tr>
      <w:tr>
        <w:tc>
          <w:tcPr>
            <w:tcW w:type="dxa" w:w="850"/>
          </w:tcPr>
          <w:p>
            <w:r>
              <w:t>AI-6</w:t>
            </w:r>
          </w:p>
        </w:tc>
        <w:tc>
          <w:tcPr>
            <w:tcW w:type="dxa" w:w="4535"/>
          </w:tcPr>
          <w:p>
            <w:r>
              <w:t>Воспроизводимость: фиксируется версия модели и параметры генерации</w:t>
            </w:r>
          </w:p>
        </w:tc>
        <w:tc>
          <w:tcPr>
            <w:tcW w:type="dxa" w:w="3855"/>
          </w:tcPr>
          <w:p>
            <w:r>
              <w:t>Журнал аудита</w:t>
            </w:r>
          </w:p>
        </w:tc>
      </w:tr>
    </w:tbl>
    <w:p/>
    <w:p>
      <w:r>
        <w:t>Исполнитель предлагает метрики и набор контрольных данных; заказчик предоставляет эталонные материалы и экспертов-методистов.</w:t>
      </w:r>
    </w:p>
    <w:p>
      <w:pPr>
        <w:pStyle w:val="Heading2"/>
      </w:pPr>
      <w:r>
        <w:t>5.3. Нефункциональные требования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02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3118"/>
          </w:tcPr>
          <w:p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1020"/>
          </w:tcPr>
          <w:p>
            <w:r>
              <w:t>NFR-1</w:t>
            </w:r>
          </w:p>
        </w:tc>
        <w:tc>
          <w:tcPr>
            <w:tcW w:type="dxa" w:w="5102"/>
          </w:tcPr>
          <w:p>
            <w:r>
              <w:t>Время генерации текста инструктажа до 3000 слов</w:t>
            </w:r>
          </w:p>
        </w:tc>
        <w:tc>
          <w:tcPr>
            <w:tcW w:type="dxa" w:w="3118"/>
          </w:tcPr>
          <w:p>
            <w:r>
              <w:t>≤ 60 с (p95)</w:t>
            </w:r>
          </w:p>
        </w:tc>
      </w:tr>
      <w:tr>
        <w:tc>
          <w:tcPr>
            <w:tcW w:type="dxa" w:w="1020"/>
          </w:tcPr>
          <w:p>
            <w:r>
              <w:t>NFR-2</w:t>
            </w:r>
          </w:p>
        </w:tc>
        <w:tc>
          <w:tcPr>
            <w:tcW w:type="dxa" w:w="5102"/>
          </w:tcPr>
          <w:p>
            <w:r>
              <w:t>Время генерации теста из 20 вопросов</w:t>
            </w:r>
          </w:p>
        </w:tc>
        <w:tc>
          <w:tcPr>
            <w:tcW w:type="dxa" w:w="3118"/>
          </w:tcPr>
          <w:p>
            <w:r>
              <w:t>≤ 60 с (p95)</w:t>
            </w:r>
          </w:p>
        </w:tc>
      </w:tr>
      <w:tr>
        <w:tc>
          <w:tcPr>
            <w:tcW w:type="dxa" w:w="1020"/>
          </w:tcPr>
          <w:p>
            <w:r>
              <w:t>NFR-3</w:t>
            </w:r>
          </w:p>
        </w:tc>
        <w:tc>
          <w:tcPr>
            <w:tcW w:type="dxa" w:w="5102"/>
          </w:tcPr>
          <w:p>
            <w:r>
              <w:t>Одновременные задачи</w:t>
            </w:r>
          </w:p>
        </w:tc>
        <w:tc>
          <w:tcPr>
            <w:tcW w:type="dxa" w:w="3118"/>
          </w:tcPr>
          <w:p>
            <w:r>
              <w:t>≥ 50 без деградации времени более чем на 30%</w:t>
            </w:r>
          </w:p>
        </w:tc>
      </w:tr>
      <w:tr>
        <w:tc>
          <w:tcPr>
            <w:tcW w:type="dxa" w:w="1020"/>
          </w:tcPr>
          <w:p>
            <w:r>
              <w:t>NFR-4</w:t>
            </w:r>
          </w:p>
        </w:tc>
        <w:tc>
          <w:tcPr>
            <w:tcW w:type="dxa" w:w="5102"/>
          </w:tcPr>
          <w:p>
            <w:r>
              <w:t>Доступность API</w:t>
            </w:r>
          </w:p>
        </w:tc>
        <w:tc>
          <w:tcPr>
            <w:tcW w:type="dxa" w:w="3118"/>
          </w:tcPr>
          <w:p>
            <w:r>
              <w:t>≥ 99,5% в месяц</w:t>
            </w:r>
          </w:p>
        </w:tc>
      </w:tr>
      <w:tr>
        <w:tc>
          <w:tcPr>
            <w:tcW w:type="dxa" w:w="1020"/>
          </w:tcPr>
          <w:p>
            <w:r>
              <w:t>NFR-5</w:t>
            </w:r>
          </w:p>
        </w:tc>
        <w:tc>
          <w:tcPr>
            <w:tcW w:type="dxa" w:w="5102"/>
          </w:tcPr>
          <w:p>
            <w:r>
              <w:t>Масштабирование</w:t>
            </w:r>
          </w:p>
        </w:tc>
        <w:tc>
          <w:tcPr>
            <w:tcW w:type="dxa" w:w="3118"/>
          </w:tcPr>
          <w:p>
            <w:r>
              <w:t>Горизонтальное; рост нагрузки в 5 раз без изменения архитектуры</w:t>
            </w:r>
          </w:p>
        </w:tc>
      </w:tr>
      <w:tr>
        <w:tc>
          <w:tcPr>
            <w:tcW w:type="dxa" w:w="1020"/>
          </w:tcPr>
          <w:p>
            <w:r>
              <w:t>NFR-6</w:t>
            </w:r>
          </w:p>
        </w:tc>
        <w:tc>
          <w:tcPr>
            <w:tcW w:type="dxa" w:w="5102"/>
          </w:tcPr>
          <w:p>
            <w:r>
              <w:t>Интерфейс администратора</w:t>
            </w:r>
          </w:p>
        </w:tc>
        <w:tc>
          <w:tcPr>
            <w:tcW w:type="dxa" w:w="3118"/>
          </w:tcPr>
          <w:p>
            <w:r>
              <w:t>RU/KZ, адаптивный, браузеры Chrome/Edge/Safari/Firefox актуальных версий</w:t>
            </w:r>
          </w:p>
        </w:tc>
      </w:tr>
      <w:tr>
        <w:tc>
          <w:tcPr>
            <w:tcW w:type="dxa" w:w="1020"/>
          </w:tcPr>
          <w:p>
            <w:r>
              <w:t>NFR-7</w:t>
            </w:r>
          </w:p>
        </w:tc>
        <w:tc>
          <w:tcPr>
            <w:tcW w:type="dxa" w:w="5102"/>
          </w:tcPr>
          <w:p>
            <w:r>
              <w:t>Резервное копирование</w:t>
            </w:r>
          </w:p>
        </w:tc>
        <w:tc>
          <w:tcPr>
            <w:tcW w:type="dxa" w:w="3118"/>
          </w:tcPr>
          <w:p>
            <w:r>
              <w:t>Ежедневно, RPO ≤ 24 ч, RTO ≤ 4 ч</w:t>
            </w:r>
          </w:p>
        </w:tc>
      </w:tr>
    </w:tbl>
    <w:p/>
    <w:p>
      <w:pPr>
        <w:pStyle w:val="Heading2"/>
      </w:pPr>
      <w:r>
        <w:t>5.4. Требования к информационной безопасности и размещению данных</w:t>
      </w:r>
    </w:p>
    <w:p>
      <w:pPr>
        <w:pStyle w:val="ListBullet"/>
      </w:pPr>
      <w:r>
        <w:t>Персональные данные и данные клиентов хранятся и обрабатываются на территории РК (Закон РК «О персональных данных и их защите»); трансграничная передача — только по письменному согласованию заказчика.</w:t>
      </w:r>
    </w:p>
    <w:p>
      <w:pPr>
        <w:pStyle w:val="ListBullet"/>
      </w:pPr>
      <w:r>
        <w:t>Использование внешних облачных LLM допускается только без передачи персональных данных и документов клиентов, либо при размещении модели на инфраструктуре в РК; схема потоков данных описывается в отклике.</w:t>
      </w:r>
    </w:p>
    <w:p>
      <w:pPr>
        <w:pStyle w:val="ListBullet"/>
      </w:pPr>
      <w:r>
        <w:t>Данные заказчика и клиентов не используются для обучения сторонних моделей.</w:t>
      </w:r>
    </w:p>
    <w:p>
      <w:pPr>
        <w:pStyle w:val="ListBullet"/>
      </w:pPr>
      <w:r>
        <w:t>Аутентификация сервис-сервис: OAuth2/JWT или mTLS; шифрование TLS 1.2+ в канале и AES-256 на хранении.</w:t>
      </w:r>
    </w:p>
    <w:p>
      <w:pPr>
        <w:pStyle w:val="ListBullet"/>
      </w:pPr>
      <w:r>
        <w:t>Разграничение доступа по ролям (методист, администратор организации, администратор системы); логирование доступа.</w:t>
      </w:r>
    </w:p>
    <w:p>
      <w:pPr>
        <w:pStyle w:val="ListBullet"/>
      </w:pPr>
      <w:r>
        <w:t>Соответствие требованиям к защите информации для государственных заказчиков; прохождение проверки безопасности заказчика (SAST/DAST, отчёт об уязвимостях) перед приёмкой.</w:t>
      </w:r>
    </w:p>
    <w:p>
      <w:pPr>
        <w:pStyle w:val="Heading2"/>
      </w:pPr>
      <w:r>
        <w:t>5.5. Требования к интеграции</w:t>
      </w:r>
    </w:p>
    <w:p>
      <w:pPr>
        <w:pStyle w:val="ListBullet"/>
      </w:pPr>
      <w:r>
        <w:t>REST API по спецификации OpenAPI 3.x, версионирование, идемпотентность запросов.</w:t>
      </w:r>
    </w:p>
    <w:p>
      <w:pPr>
        <w:pStyle w:val="ListBullet"/>
      </w:pPr>
      <w:r>
        <w:t>Совместимость с backend SkillPass на Go; допускается собственный стек Исполнителя при условии контейнеризации (Docker/Kubernetes).</w:t>
      </w:r>
    </w:p>
    <w:p>
      <w:pPr>
        <w:pStyle w:val="ListBullet"/>
      </w:pPr>
      <w:r>
        <w:t>Вход через сервисный аккаунт; передача идентификатора организации для разграничения данных.</w:t>
      </w:r>
    </w:p>
    <w:p>
      <w:pPr>
        <w:pStyle w:val="ListBullet"/>
      </w:pPr>
      <w:r>
        <w:t>Развёртывание в инфраструктуре заказчика в РК или у Исполнителя в дата-центре в РК (вариант указывается в отклике).</w:t>
      </w:r>
    </w:p>
    <w:p>
      <w:pPr>
        <w:pStyle w:val="Heading2"/>
      </w:pPr>
      <w:r>
        <w:t>5.6. Требования к документированию и передаче</w:t>
      </w:r>
    </w:p>
    <w:p>
      <w:pPr>
        <w:pStyle w:val="ListBullet"/>
      </w:pPr>
      <w:r>
        <w:t>Описание архитектуры, схема потоков данных, OpenAPI-спецификация, руководство администратора и методиста, инструкция по развёртыванию.</w:t>
      </w:r>
    </w:p>
    <w:p>
      <w:pPr>
        <w:pStyle w:val="ListBullet"/>
      </w:pPr>
      <w:r>
        <w:t>Исходный код, модели/промпты и скрипты оценки качества — передаются заказчику или предоставляются на условиях лицензии, указанных в договоре.</w:t>
      </w:r>
    </w:p>
    <w:p>
      <w:pPr>
        <w:pStyle w:val="ListBullet"/>
      </w:pPr>
      <w:r>
        <w:t>Отчёт по оценке качества ИИ (раздел 5.2) и отчёт тестирования.</w:t>
      </w:r>
    </w:p>
    <w:p>
      <w:pPr>
        <w:pStyle w:val="Heading1"/>
      </w:pPr>
      <w:r>
        <w:t>6. Состав и сроки работ (предлагаемые, уточняются в отклике)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</w:tcPr>
          <w:p>
            <w:r/>
            <w:r>
              <w:rPr>
                <w:b/>
              </w:rPr>
              <w:t>Этап</w:t>
            </w:r>
          </w:p>
        </w:tc>
        <w:tc>
          <w:tcPr>
            <w:tcW w:type="dxa" w:w="3685"/>
          </w:tcPr>
          <w:p>
            <w:r/>
            <w:r>
              <w:rPr>
                <w:b/>
              </w:rPr>
              <w:t>Содержание</w:t>
            </w:r>
          </w:p>
        </w:tc>
        <w:tc>
          <w:tcPr>
            <w:tcW w:type="dxa" w:w="2268"/>
          </w:tcPr>
          <w:p>
            <w:r/>
            <w:r>
              <w:rPr>
                <w:b/>
              </w:rPr>
              <w:t>Результат</w:t>
            </w:r>
          </w:p>
        </w:tc>
        <w:tc>
          <w:tcPr>
            <w:tcW w:type="dxa" w:w="1587"/>
          </w:tcPr>
          <w:p>
            <w:r/>
            <w:r>
              <w:rPr>
                <w:b/>
              </w:rPr>
              <w:t>Срок</w:t>
            </w:r>
          </w:p>
        </w:tc>
      </w:tr>
      <w:tr>
        <w:tc>
          <w:tcPr>
            <w:tcW w:type="dxa" w:w="1701"/>
          </w:tcPr>
          <w:p>
            <w:r>
              <w:t>1. Анализ и прототип</w:t>
            </w:r>
          </w:p>
        </w:tc>
        <w:tc>
          <w:tcPr>
            <w:tcW w:type="dxa" w:w="3685"/>
          </w:tcPr>
          <w:p>
            <w:r>
              <w:t>Уточнение метрик, база знаний НПА, прототип генерации текстов и тестов RU/KZ</w:t>
            </w:r>
          </w:p>
        </w:tc>
        <w:tc>
          <w:tcPr>
            <w:tcW w:type="dxa" w:w="2268"/>
          </w:tcPr>
          <w:p>
            <w:r>
              <w:t>Отчёт, прототип, согласованные метрики</w:t>
            </w:r>
          </w:p>
        </w:tc>
        <w:tc>
          <w:tcPr>
            <w:tcW w:type="dxa" w:w="1587"/>
          </w:tcPr>
          <w:p>
            <w:r>
              <w:t>до 6 недель</w:t>
            </w:r>
          </w:p>
        </w:tc>
      </w:tr>
      <w:tr>
        <w:tc>
          <w:tcPr>
            <w:tcW w:type="dxa" w:w="1701"/>
          </w:tcPr>
          <w:p>
            <w:r>
              <w:t>2. Разработка ядра</w:t>
            </w:r>
          </w:p>
        </w:tc>
        <w:tc>
          <w:tcPr>
            <w:tcW w:type="dxa" w:w="3685"/>
          </w:tcPr>
          <w:p>
            <w:r>
              <w:t>FR-1…FR-4, FR-6, FR-8, FR-10, FR-11, API, панель проверки</w:t>
            </w:r>
          </w:p>
        </w:tc>
        <w:tc>
          <w:tcPr>
            <w:tcW w:type="dxa" w:w="2268"/>
          </w:tcPr>
          <w:p>
            <w:r>
              <w:t>Работающий сервис на тестовой среде</w:t>
            </w:r>
          </w:p>
        </w:tc>
        <w:tc>
          <w:tcPr>
            <w:tcW w:type="dxa" w:w="1587"/>
          </w:tcPr>
          <w:p>
            <w:r>
              <w:t>до 8 недель</w:t>
            </w:r>
          </w:p>
        </w:tc>
      </w:tr>
      <w:tr>
        <w:tc>
          <w:tcPr>
            <w:tcW w:type="dxa" w:w="1701"/>
          </w:tcPr>
          <w:p>
            <w:r>
              <w:t>3. Видео-инструктажи</w:t>
            </w:r>
          </w:p>
        </w:tc>
        <w:tc>
          <w:tcPr>
            <w:tcW w:type="dxa" w:w="3685"/>
          </w:tcPr>
          <w:p>
            <w:r>
              <w:t>FR-5, интеграция TTS/видеогенерации</w:t>
            </w:r>
          </w:p>
        </w:tc>
        <w:tc>
          <w:tcPr>
            <w:tcW w:type="dxa" w:w="2268"/>
          </w:tcPr>
          <w:p>
            <w:r>
              <w:t>Видео RU/KZ из утверждённого текста</w:t>
            </w:r>
          </w:p>
        </w:tc>
        <w:tc>
          <w:tcPr>
            <w:tcW w:type="dxa" w:w="1587"/>
          </w:tcPr>
          <w:p>
            <w:r>
              <w:t>до 6 недель</w:t>
            </w:r>
          </w:p>
        </w:tc>
      </w:tr>
      <w:tr>
        <w:tc>
          <w:tcPr>
            <w:tcW w:type="dxa" w:w="1701"/>
          </w:tcPr>
          <w:p>
            <w:r>
              <w:t>4. Интеграция и пилот</w:t>
            </w:r>
          </w:p>
        </w:tc>
        <w:tc>
          <w:tcPr>
            <w:tcW w:type="dxa" w:w="3685"/>
          </w:tcPr>
          <w:p>
            <w:r>
              <w:t>Интеграция в SkillPass, пилот на 5–10 организациях, измерение Ц1–Ц5</w:t>
            </w:r>
          </w:p>
        </w:tc>
        <w:tc>
          <w:tcPr>
            <w:tcW w:type="dxa" w:w="2268"/>
          </w:tcPr>
          <w:p>
            <w:r>
              <w:t>Отчёт пилота, доработки</w:t>
            </w:r>
          </w:p>
        </w:tc>
        <w:tc>
          <w:tcPr>
            <w:tcW w:type="dxa" w:w="1587"/>
          </w:tcPr>
          <w:p>
            <w:r>
              <w:t>до 6 недель</w:t>
            </w:r>
          </w:p>
        </w:tc>
      </w:tr>
      <w:tr>
        <w:tc>
          <w:tcPr>
            <w:tcW w:type="dxa" w:w="1701"/>
          </w:tcPr>
          <w:p>
            <w:r>
              <w:t>5. Передача</w:t>
            </w:r>
          </w:p>
        </w:tc>
        <w:tc>
          <w:tcPr>
            <w:tcW w:type="dxa" w:w="3685"/>
          </w:tcPr>
          <w:p>
            <w:r>
              <w:t>Документация, обучение, гарантийная поддержка</w:t>
            </w:r>
          </w:p>
        </w:tc>
        <w:tc>
          <w:tcPr>
            <w:tcW w:type="dxa" w:w="2268"/>
          </w:tcPr>
          <w:p>
            <w:r>
              <w:t>Акт приёмки</w:t>
            </w:r>
          </w:p>
        </w:tc>
        <w:tc>
          <w:tcPr>
            <w:tcW w:type="dxa" w:w="1587"/>
          </w:tcPr>
          <w:p>
            <w:r>
              <w:t>до 2 недель + 3 мес. гарантии</w:t>
            </w:r>
          </w:p>
        </w:tc>
      </w:tr>
    </w:tbl>
    <w:p/>
    <w:p>
      <w:pPr>
        <w:pStyle w:val="Heading1"/>
      </w:pPr>
      <w:r>
        <w:t>7. Порядок контроля и приёмки</w:t>
      </w:r>
    </w:p>
    <w:p>
      <w:pPr>
        <w:pStyle w:val="ListBullet"/>
      </w:pPr>
      <w:r>
        <w:t>Промежуточная приёмка по каждому этапу по результатам демонстрации и проверки критериев раздела 5.</w:t>
      </w:r>
    </w:p>
    <w:p>
      <w:pPr>
        <w:pStyle w:val="ListBullet"/>
      </w:pPr>
      <w:r>
        <w:t>Итоговая приёмка: выполнены показатели Ц1–Ц5, AI-1…AI-6 и NFR-1…NFR-4 на пилоте; критичные дефекты отсутствуют; передана документация.</w:t>
      </w:r>
    </w:p>
    <w:p>
      <w:pPr>
        <w:pStyle w:val="ListBullet"/>
      </w:pPr>
      <w:r>
        <w:t>Гарантия: не менее 3 месяцев, устранение критичных дефектов ≤ 2 рабочих дня, прочих ≤ 10 рабочих дней.</w:t>
      </w:r>
    </w:p>
    <w:p>
      <w:pPr>
        <w:pStyle w:val="Heading1"/>
      </w:pPr>
      <w:r>
        <w:t>8. Что должен содержать отклик</w:t>
      </w:r>
    </w:p>
    <w:p>
      <w:pPr>
        <w:pStyle w:val="ListBullet"/>
      </w:pPr>
      <w:r>
        <w:t>Описание подхода и архитектуры, перечень используемых моделей и мест их размещения.</w:t>
      </w:r>
    </w:p>
    <w:p>
      <w:pPr>
        <w:pStyle w:val="ListBullet"/>
      </w:pPr>
      <w:r>
        <w:t>Опыт аналогичных проектов (генеративный ИИ, речь/видео, казахский язык), ссылки на кейсы.</w:t>
      </w:r>
    </w:p>
    <w:p>
      <w:pPr>
        <w:pStyle w:val="ListBullet"/>
      </w:pPr>
      <w:r>
        <w:t>Состав команды, сроки, стоимость по этапам и модель лицензирования результата.</w:t>
      </w:r>
    </w:p>
    <w:p>
      <w:pPr>
        <w:pStyle w:val="ListBullet"/>
      </w:pPr>
      <w:r>
        <w:t>Подход к соблюдению требований раздела 5.4 и оценке качества раздела 5.2.</w:t>
      </w:r>
    </w:p>
    <w:p>
      <w:pPr>
        <w:pStyle w:val="ListBullet"/>
      </w:pPr>
      <w:r>
        <w:t>Допущения и риски.</w:t>
      </w:r>
    </w:p>
    <w:p>
      <w:pPr>
        <w:pStyle w:val="Heading1"/>
      </w:pPr>
      <w:r>
        <w:t>9. Критерии отбора откликов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803"/>
          </w:tcPr>
          <w:p>
            <w:r/>
            <w:r>
              <w:rPr>
                <w:b/>
              </w:rPr>
              <w:t>Критерий</w:t>
            </w:r>
          </w:p>
        </w:tc>
        <w:tc>
          <w:tcPr>
            <w:tcW w:type="dxa" w:w="2268"/>
          </w:tcPr>
          <w:p>
            <w:r/>
            <w:r>
              <w:rPr>
                <w:b/>
              </w:rPr>
              <w:t>Вес</w:t>
            </w:r>
          </w:p>
        </w:tc>
      </w:tr>
      <w:tr>
        <w:tc>
          <w:tcPr>
            <w:tcW w:type="dxa" w:w="6803"/>
          </w:tcPr>
          <w:p>
            <w:r>
              <w:t>Соответствие требованиям и качество решения для казахского языка</w:t>
            </w:r>
          </w:p>
        </w:tc>
        <w:tc>
          <w:tcPr>
            <w:tcW w:type="dxa" w:w="2268"/>
          </w:tcPr>
          <w:p>
            <w:r>
              <w:t>30%</w:t>
            </w:r>
          </w:p>
        </w:tc>
      </w:tr>
      <w:tr>
        <w:tc>
          <w:tcPr>
            <w:tcW w:type="dxa" w:w="6803"/>
          </w:tcPr>
          <w:p>
            <w:r>
              <w:t>Размещение данных и безопасность</w:t>
            </w:r>
          </w:p>
        </w:tc>
        <w:tc>
          <w:tcPr>
            <w:tcW w:type="dxa" w:w="2268"/>
          </w:tcPr>
          <w:p>
            <w:r>
              <w:t>20%</w:t>
            </w:r>
          </w:p>
        </w:tc>
      </w:tr>
      <w:tr>
        <w:tc>
          <w:tcPr>
            <w:tcW w:type="dxa" w:w="6803"/>
          </w:tcPr>
          <w:p>
            <w:r>
              <w:t>Опыт и релевантные кейсы</w:t>
            </w:r>
          </w:p>
        </w:tc>
        <w:tc>
          <w:tcPr>
            <w:tcW w:type="dxa" w:w="2268"/>
          </w:tcPr>
          <w:p>
            <w:r>
              <w:t>20%</w:t>
            </w:r>
          </w:p>
        </w:tc>
      </w:tr>
      <w:tr>
        <w:tc>
          <w:tcPr>
            <w:tcW w:type="dxa" w:w="6803"/>
          </w:tcPr>
          <w:p>
            <w:r>
              <w:t>Стоимость и сроки</w:t>
            </w:r>
          </w:p>
        </w:tc>
        <w:tc>
          <w:tcPr>
            <w:tcW w:type="dxa" w:w="2268"/>
          </w:tcPr>
          <w:p>
            <w:r>
              <w:t>20%</w:t>
            </w:r>
          </w:p>
        </w:tc>
      </w:tr>
      <w:tr>
        <w:tc>
          <w:tcPr>
            <w:tcW w:type="dxa" w:w="6803"/>
          </w:tcPr>
          <w:p>
            <w:r>
              <w:t>Условия передачи прав и поддержки</w:t>
            </w:r>
          </w:p>
        </w:tc>
        <w:tc>
          <w:tcPr>
            <w:tcW w:type="dxa" w:w="2268"/>
          </w:tcPr>
          <w:p>
            <w:r>
              <w:t>10%</w:t>
            </w:r>
          </w:p>
        </w:tc>
      </w:tr>
    </w:tbl>
    <w:p/>
    <w:p>
      <w:pPr>
        <w:pStyle w:val="Heading1"/>
      </w:pPr>
      <w:r>
        <w:t>10. Источники разработки</w:t>
      </w:r>
    </w:p>
    <w:p>
      <w:pPr>
        <w:pStyle w:val="ListBullet"/>
      </w:pPr>
      <w:r>
        <w:t>Законодательство РК: Трудовой кодекс РК, Закон РК «О гражданской защите», Закон РК «Об антитеррористической защите объектов» (перечень применимых НПА уточняется на этапе 1), Закон РК «О персональных данных и их защите».</w:t>
      </w:r>
    </w:p>
    <w:p>
      <w:pPr>
        <w:pStyle w:val="ListBullet"/>
      </w:pPr>
      <w:r>
        <w:t>ГОСТ 34.602-2020, ISO/IEC/IEEE 29148.</w:t>
      </w:r>
    </w:p>
    <w:p>
      <w:pPr>
        <w:pStyle w:val="Heading1"/>
      </w:pPr>
      <w:r>
        <w:t>11. Термины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/>
              </w:rPr>
              <w:t>Термин</w:t>
            </w:r>
          </w:p>
        </w:tc>
        <w:tc>
          <w:tcPr>
            <w:tcW w:type="dxa" w:w="6803"/>
          </w:tcPr>
          <w:p>
            <w:r/>
            <w:r>
              <w:rPr>
                <w:b/>
              </w:rPr>
              <w:t>Определение</w:t>
            </w:r>
          </w:p>
        </w:tc>
      </w:tr>
      <w:tr>
        <w:tc>
          <w:tcPr>
            <w:tcW w:type="dxa" w:w="2268"/>
          </w:tcPr>
          <w:p>
            <w:r>
              <w:t>Инструктаж</w:t>
            </w:r>
          </w:p>
        </w:tc>
        <w:tc>
          <w:tcPr>
            <w:tcW w:type="dxa" w:w="6803"/>
          </w:tcPr>
          <w:p>
            <w:r>
              <w:t>Обязательное обучение работника по ОТ, ПБ, АТЗ и др.</w:t>
            </w:r>
          </w:p>
        </w:tc>
      </w:tr>
      <w:tr>
        <w:tc>
          <w:tcPr>
            <w:tcW w:type="dxa" w:w="2268"/>
          </w:tcPr>
          <w:p>
            <w:r>
              <w:t>НПА</w:t>
            </w:r>
          </w:p>
        </w:tc>
        <w:tc>
          <w:tcPr>
            <w:tcW w:type="dxa" w:w="6803"/>
          </w:tcPr>
          <w:p>
            <w:r>
              <w:t>Нормативный правовой акт РК</w:t>
            </w:r>
          </w:p>
        </w:tc>
      </w:tr>
      <w:tr>
        <w:tc>
          <w:tcPr>
            <w:tcW w:type="dxa" w:w="2268"/>
          </w:tcPr>
          <w:p>
            <w:r>
              <w:t>Методист</w:t>
            </w:r>
          </w:p>
        </w:tc>
        <w:tc>
          <w:tcPr>
            <w:tcW w:type="dxa" w:w="6803"/>
          </w:tcPr>
          <w:p>
            <w:r>
              <w:t>Сотрудник, утверждающий обучающие материалы</w:t>
            </w:r>
          </w:p>
        </w:tc>
      </w:tr>
      <w:tr>
        <w:tc>
          <w:tcPr>
            <w:tcW w:type="dxa" w:w="2268"/>
          </w:tcPr>
          <w:p>
            <w:r>
              <w:t>MOS</w:t>
            </w:r>
          </w:p>
        </w:tc>
        <w:tc>
          <w:tcPr>
            <w:tcW w:type="dxa" w:w="6803"/>
          </w:tcPr>
          <w:p>
            <w:r>
              <w:t>Mean Opinion Score — экспертная оценка качества речи</w:t>
            </w:r>
          </w:p>
        </w:tc>
      </w:tr>
      <w:tr>
        <w:tc>
          <w:tcPr>
            <w:tcW w:type="dxa" w:w="2268"/>
          </w:tcPr>
          <w:p>
            <w:r>
              <w:t>p95</w:t>
            </w:r>
          </w:p>
        </w:tc>
        <w:tc>
          <w:tcPr>
            <w:tcW w:type="dxa" w:w="6803"/>
          </w:tcPr>
          <w:p>
            <w:r>
              <w:t>95-й перцентиль времени выполнения</w:t>
            </w:r>
          </w:p>
        </w:tc>
      </w:tr>
    </w:tbl>
    <w:p/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