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60"/>
      </w:pPr>
      <w:r>
        <w:rPr>
          <w:rFonts w:ascii="Arial" w:hAnsi="Arial"/>
          <w:b/>
          <w:color w:val="000000"/>
          <w:sz w:val="44"/>
        </w:rPr>
        <w:t>Интеграция ЭДО NLG.KZ с 1С CRM ERP</w:t>
      </w:r>
    </w:p>
    <w:p>
      <w:pPr>
        <w:spacing w:after="240"/>
      </w:pPr>
      <w:r>
        <w:rPr>
          <w:rFonts w:ascii="Arial" w:hAnsi="Arial"/>
          <w:color w:val="4A5560"/>
          <w:sz w:val="24"/>
        </w:rPr>
        <w:t>Техническое задание на пилотный интеграционный модуль</w:t>
      </w:r>
    </w:p>
    <w:p>
      <w:pPr>
        <w:spacing w:after="160" w:line="269" w:lineRule="auto"/>
      </w:pPr>
      <w:r>
        <w:rPr>
          <w:rFonts w:ascii="Arial" w:hAnsi="Arial"/>
          <w:color w:val="222222"/>
          <w:sz w:val="21"/>
        </w:rPr>
        <w:t>Документ описывает пилотный обмен данными между NLG.KZ ЭДО и одной согласованной учетной системой. Цель проекта — сократить повторный ручной ввод сведений о документах и возвращать в учетную систему актуальные статусы их обработки. Конкретная конфигурация 1С, CRM или ERP, типы документов и направление обмена фиксируются после обследования интерфейсов и процесса заказчика.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tblHeader w:val="true"/>
        </w:trPr>
        <w:tc>
          <w:tcPr>
            <w:tcW w:type="dxa" w:w="2376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Параметр</w:t>
            </w:r>
          </w:p>
        </w:tc>
        <w:tc>
          <w:tcPr>
            <w:tcW w:type="dxa" w:w="756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Описание</w:t>
            </w:r>
          </w:p>
        </w:tc>
      </w:tr>
      <w:tr>
        <w:tc>
          <w:tcPr>
            <w:tcW w:type="dxa" w:w="237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Заказчик</w:t>
            </w:r>
          </w:p>
        </w:tc>
        <w:tc>
          <w:tcPr>
            <w:tcW w:type="dxa" w:w="756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ТОО NLG.KZ</w:t>
            </w:r>
          </w:p>
        </w:tc>
      </w:tr>
      <w:tr>
        <w:tc>
          <w:tcPr>
            <w:tcW w:type="dxa" w:w="237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Объект разработки</w:t>
            </w:r>
          </w:p>
        </w:tc>
        <w:tc>
          <w:tcPr>
            <w:tcW w:type="dxa" w:w="756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Программный модуль интеграции NLG.KZ ЭДО с одной внешней учетной системой</w:t>
            </w:r>
          </w:p>
        </w:tc>
      </w:tr>
      <w:tr>
        <w:tc>
          <w:tcPr>
            <w:tcW w:type="dxa" w:w="237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Объем пилота</w:t>
            </w:r>
          </w:p>
        </w:tc>
        <w:tc>
          <w:tcPr>
            <w:tcW w:type="dxa" w:w="756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Один согласованный сценарий обмена документами и статусами</w:t>
            </w:r>
          </w:p>
        </w:tc>
      </w:tr>
      <w:tr>
        <w:tc>
          <w:tcPr>
            <w:tcW w:type="dxa" w:w="2376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Сроки и стоимость</w:t>
            </w:r>
          </w:p>
        </w:tc>
        <w:tc>
          <w:tcPr>
            <w:tcW w:type="dxa" w:w="756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Согласуются отдельно после обследования и оценки объема работ</w:t>
            </w:r>
          </w:p>
        </w:tc>
      </w:tr>
    </w:tbl>
    <w:p>
      <w:pPr>
        <w:spacing w:after="40"/>
      </w:pP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1 Назначение и цели</w:t>
      </w:r>
    </w:p>
    <w:p>
      <w:pPr>
        <w:spacing w:after="100" w:line="269" w:lineRule="auto"/>
      </w:pPr>
      <w:r>
        <w:rPr>
          <w:rFonts w:ascii="Arial" w:hAnsi="Arial"/>
          <w:color w:val="222222"/>
          <w:sz w:val="21"/>
        </w:rPr>
        <w:t>Создать проверяемый MVP-коннектор между NLG.KZ ЭДО и выбранной системой 1С, CRM или ERP. Интеграция должна передавать согласованные данные документов и возвращать статусы обработки так, чтобы сотрудники могли вести пилотный процесс из привычной учетной системы.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2 Описание задачи</w:t>
      </w:r>
    </w:p>
    <w:p>
      <w:pPr>
        <w:spacing w:after="100" w:line="269" w:lineRule="auto"/>
      </w:pPr>
      <w:r>
        <w:rPr>
          <w:rFonts w:ascii="Arial" w:hAnsi="Arial"/>
          <w:color w:val="222222"/>
          <w:sz w:val="21"/>
        </w:rPr>
        <w:t>Компании используют разные учетные и CRM/ERP-системы для работы с контрагентами и документами. Если данные и статусы не синхронизируются, сотрудникам приходится переносить сведения вручную и отдельно проверять ход подписания. В рамках пилота требуется согласовать один целевой процесс и автоматизировать его обмен с NLG.KZ ЭДО.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3 Границы пилотного решения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Совместно с заказчиком выбрать одну целевую систему, один процесс и перечень типов документов для пилота.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Описать соответствие полей контрагентов и документов между двумя системами.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Передавать согласованные документы и необходимые реквизиты в предусмотренном интерфейсом направлении.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Возвращать статус документа и дату изменения статуса в исходную учетную систему.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Исключать повторное создание одной операции при повторной доставке запроса.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Фиксировать ошибки обмена и предоставлять понятный способ повторной обработки.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Передать инструкцию по настройке и эксплуатации пилотной интеграции.</w:t>
      </w:r>
    </w:p>
    <w:p>
      <w:pPr>
        <w:spacing w:after="100" w:line="269" w:lineRule="auto"/>
      </w:pPr>
      <w:r>
        <w:rPr>
          <w:rFonts w:ascii="Arial" w:hAnsi="Arial"/>
          <w:color w:val="222222"/>
          <w:sz w:val="21"/>
        </w:rPr>
        <w:t>Интеграция со всеми версиями и конфигурациями 1С, несколькими CRM/ERP, миграция исторических данных и изменение бизнес-процессов вне согласованного пилота в объем MVP не входят.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4 Функциональные требования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037"/>
        <w:gridCol w:w="2088"/>
        <w:gridCol w:w="6811"/>
      </w:tblGrid>
      <w:tr>
        <w:trPr>
          <w:tblHeader w:val="true"/>
        </w:trPr>
        <w:tc>
          <w:tcPr>
            <w:tcW w:type="dxa" w:w="1037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Код</w:t>
            </w:r>
          </w:p>
        </w:tc>
        <w:tc>
          <w:tcPr>
            <w:tcW w:type="dxa" w:w="208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Требование</w:t>
            </w:r>
          </w:p>
        </w:tc>
        <w:tc>
          <w:tcPr>
            <w:tcW w:type="dxa" w:w="6811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Результат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FR-01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Настройка связи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Уполномоченный пользователь может настроить подключение к выбранной системе по согласованному способу авторизации.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FR-02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Обмен данными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Система передает согласованные реквизиты контрагента и данные документа по утвержденной карте полей.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FR-03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Синхронизация статуса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После изменения статуса документа актуальное значение передается во внешнюю систему.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FR-04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Идемпотентность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Повторная доставка одного события не создает дубликат документа или операции.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FR-05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Ошибки и повторы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Ошибка содержит идентификатор операции, время и понятное описание; повторный запуск не создает дубликат.</w:t>
            </w:r>
          </w:p>
        </w:tc>
      </w:tr>
      <w:tr>
        <w:tc>
          <w:tcPr>
            <w:tcW w:type="dxa" w:w="1037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FR-06</w:t>
            </w:r>
          </w:p>
        </w:tc>
        <w:tc>
          <w:tcPr>
            <w:tcW w:type="dxa" w:w="208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Журнал обмена</w:t>
            </w:r>
          </w:p>
        </w:tc>
        <w:tc>
          <w:tcPr>
            <w:tcW w:type="dxa" w:w="6811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Доступна история успешных операций и ошибок без записи секретов авторизации.</w:t>
            </w:r>
          </w:p>
        </w:tc>
      </w:tr>
    </w:tbl>
    <w:p>
      <w:pPr>
        <w:spacing w:after="40"/>
      </w:pP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5 Требования к безопасности и надежности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Передавать данные через защищенный канал и применять минимально необходимые права доступа.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Хранить учетные данные интеграции в защищенной конфигурации; не включать их в журналы и сообщения об ошибках.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Для тестирования использовать тестовые данные или обезличенные наборы, согласованные заказчиком.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Обрабатывать временные ошибки повторными попытками с ограничением числа повторов и возможностью ручного запуска.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До начала разработки согласовать требования к размещению, доступности, нагрузке и хранению журналов с владельцем целевой системы.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6 Этапы работ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4968"/>
        <w:gridCol w:w="3168"/>
      </w:tblGrid>
      <w:tr>
        <w:trPr>
          <w:tblHeader w:val="true"/>
        </w:trPr>
        <w:tc>
          <w:tcPr>
            <w:tcW w:type="dxa" w:w="1800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Этап</w:t>
            </w:r>
          </w:p>
        </w:tc>
        <w:tc>
          <w:tcPr>
            <w:tcW w:type="dxa" w:w="49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Работы</w:t>
            </w:r>
          </w:p>
        </w:tc>
        <w:tc>
          <w:tcPr>
            <w:tcW w:type="dxa" w:w="3168"/>
            <w:shd w:fill="1F4E7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/>
            </w:pPr>
            <w:r>
              <w:rPr>
                <w:rFonts w:ascii="Arial" w:hAnsi="Arial"/>
                <w:b/>
                <w:color w:val="FFFFFF"/>
                <w:sz w:val="19"/>
              </w:rPr>
              <w:t>Результат</w:t>
            </w:r>
          </w:p>
        </w:tc>
      </w:tr>
      <w:tr>
        <w:tc>
          <w:tcPr>
            <w:tcW w:type="dxa" w:w="180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1 Обследование</w:t>
            </w:r>
          </w:p>
        </w:tc>
        <w:tc>
          <w:tcPr>
            <w:tcW w:type="dxa" w:w="49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Выбрать целевую систему, сценарий, документы, направления обмена и доступные API.</w:t>
            </w:r>
          </w:p>
        </w:tc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Согласованная карта процесса и полей.</w:t>
            </w:r>
          </w:p>
        </w:tc>
      </w:tr>
      <w:tr>
        <w:tc>
          <w:tcPr>
            <w:tcW w:type="dxa" w:w="180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2 Проектирование</w:t>
            </w:r>
          </w:p>
        </w:tc>
        <w:tc>
          <w:tcPr>
            <w:tcW w:type="dxa" w:w="49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Описать авторизацию, события обмена, обработку повторов и ошибок.</w:t>
            </w:r>
          </w:p>
        </w:tc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Схема интеграции и план тестирования.</w:t>
            </w:r>
          </w:p>
        </w:tc>
      </w:tr>
      <w:tr>
        <w:tc>
          <w:tcPr>
            <w:tcW w:type="dxa" w:w="180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3 Разработка MVP</w:t>
            </w:r>
          </w:p>
        </w:tc>
        <w:tc>
          <w:tcPr>
            <w:tcW w:type="dxa" w:w="49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Реализовать согласованный коннектор и журнал обмена.</w:t>
            </w:r>
          </w:p>
        </w:tc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Рабочая версия в тестовой среде.</w:t>
            </w:r>
          </w:p>
        </w:tc>
      </w:tr>
      <w:tr>
        <w:tc>
          <w:tcPr>
            <w:tcW w:type="dxa" w:w="1800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4 Проверка и передача</w:t>
            </w:r>
          </w:p>
        </w:tc>
        <w:tc>
          <w:tcPr>
            <w:tcW w:type="dxa" w:w="49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Провести интеграционные испытания, устранить критические дефекты, подготовить документацию.</w:t>
            </w:r>
          </w:p>
        </w:tc>
        <w:tc>
          <w:tcPr>
            <w:tcW w:type="dxa" w:w="3168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spacing w:after="0" w:line="259" w:lineRule="auto"/>
            </w:pPr>
            <w:r>
              <w:rPr>
                <w:rFonts w:ascii="Arial" w:hAnsi="Arial"/>
                <w:color w:val="222222"/>
                <w:sz w:val="19"/>
              </w:rPr>
              <w:t>Протокол испытаний и инструкция.</w:t>
            </w:r>
          </w:p>
        </w:tc>
      </w:tr>
    </w:tbl>
    <w:p>
      <w:pPr>
        <w:spacing w:after="40"/>
      </w:pPr>
    </w:p>
    <w:p>
      <w:pPr>
        <w:spacing w:after="100" w:line="269" w:lineRule="auto"/>
      </w:pPr>
      <w:r>
        <w:rPr>
          <w:rFonts w:ascii="Arial" w:hAnsi="Arial"/>
          <w:color w:val="222222"/>
          <w:sz w:val="21"/>
        </w:rPr>
        <w:t>Даты начала и длительность этапов определяются сторонами после выбора целевой конфигурации и предоставления тестового доступа.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7 Критерии приемки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Согласованный тестовый сценарий выполняется от передачи документа до получения обновленного статуса.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Поля документа и контрагента соответствуют утвержденной карте обмена.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Повторное получение одного события не создает дубликат.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При ошибке обмена операция отражается в журнале и может быть повторена без потери исходного идентификатора.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Заказчику переданы инструкция по настройке и результаты интеграционных испытаний.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На момент приемки отсутствуют открытые критические дефекты по согласованным сценариям.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8 Требования к исполнителю</w:t>
      </w:r>
    </w:p>
    <w:p>
      <w:pPr>
        <w:spacing w:after="100" w:line="269" w:lineRule="auto"/>
      </w:pPr>
      <w:r>
        <w:rPr>
          <w:rFonts w:ascii="Arial" w:hAnsi="Arial"/>
          <w:color w:val="222222"/>
          <w:sz w:val="21"/>
        </w:rPr>
        <w:t>Исполнитель должен иметь практический опыт интеграции программных систем через API и работы хотя бы с одним классом учетных систем 1С, CRM или ERP. В отклике следует указать выбранную архитектуру решения, релевантный опыт, состав команды, перечень зависимостей от заказчика и предварительную оценку сроков и стоимости.</w:t>
      </w:r>
    </w:p>
    <w:p>
      <w:pPr>
        <w:pStyle w:val="Heading1"/>
        <w:spacing w:before="200" w:after="80"/>
        <w:keepNext/>
      </w:pPr>
      <w:r>
        <w:rPr>
          <w:rFonts w:ascii="Arial" w:hAnsi="Arial"/>
          <w:b/>
          <w:color w:val="000000"/>
          <w:sz w:val="26"/>
        </w:rPr>
        <w:t>9 Вопросы для согласования до начала работ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Точная версия и конфигурация 1С либо название CRM/ERP.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Типы документов, набор полей и направление обмена для пилота.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Доступность API, вебхуков или другого интерфейса и условия тестового доступа.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Среда размещения коннектора, модель авторизации и требования к журналированию.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Плановые даты, бюджет и условия вознаграждения исполнителя.</w:t>
      </w:r>
    </w:p>
    <w:p>
      <w:pPr>
        <w:pStyle w:val="ListBullet"/>
        <w:spacing w:after="60" w:line="264" w:lineRule="auto"/>
        <w:ind w:left="360" w:hanging="230"/>
      </w:pPr>
      <w:r>
        <w:rPr>
          <w:rFonts w:ascii="Arial" w:hAnsi="Arial"/>
          <w:color w:val="222222"/>
          <w:sz w:val="21"/>
        </w:rPr>
        <w:t>Целевая отрасль первого пилота для выбора сферы применения в форме Astana Hub.</w:t>
      </w:r>
    </w:p>
    <w:p>
      <w:pPr>
        <w:spacing w:after="40" w:line="269" w:lineRule="auto"/>
      </w:pPr>
      <w:r>
        <w:rPr>
          <w:rFonts w:ascii="Arial" w:hAnsi="Arial"/>
          <w:color w:val="222222"/>
          <w:sz w:val="21"/>
        </w:rPr>
        <w:t>Проектные детали, сроки и стоимость подтверждаются сторонами до начала разработки. Техническое решение и критерии приемки уточняются для одной выбранной системы и одного пилотного сценария.</w:t>
      </w:r>
    </w:p>
    <w:sectPr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ЭДО NLG.KZ с 1С CRM ERP</dc:title>
  <dc:subject>Техническое задание на пилотный интеграционный модуль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