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</w:rPr>
        <w:t>ТОО Element Group  |  Технологическая задача ИКТ</w:t>
      </w:r>
    </w:p>
    <w:p>
      <w:pPr>
        <w:pStyle w:val="Title"/>
      </w:pPr>
      <w:r>
        <w:t>ИИ система проверки практических заданий и оценки компетенций</w:t>
      </w:r>
    </w:p>
    <w:p>
      <w:pPr>
        <w:spacing w:after="240"/>
      </w:pPr>
      <w:r>
        <w:t>Разработка гибридной системы автоматизированной проверки кода, проектов и письменных работ по формализованным критериям с обязательным контролем преподавателя.</w:t>
      </w:r>
    </w:p>
    <w:p>
      <w:pPr>
        <w:pStyle w:val="Heading1"/>
      </w:pPr>
      <w:r>
        <w:t>Паспорт проекта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7243"/>
      </w:tblGrid>
      <w:tr>
        <w:trPr>
          <w:tblHeader/>
        </w:trPr>
        <w:tc>
          <w:tcPr>
            <w:tcW w:type="dxa" w:w="4910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E6EBF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Параметр</w:t>
            </w:r>
          </w:p>
        </w:tc>
        <w:tc>
          <w:tcPr>
            <w:tcW w:type="dxa" w:w="4910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E6EBF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Описание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Заказчик</w:t>
            </w:r>
          </w:p>
        </w:tc>
        <w:tc>
          <w:tcPr>
            <w:tcW w:type="dxa" w:w="7243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ТОО Element Group; предполагаемое применение — образовательные программы Академии Extra, в том числе технологические курсы.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Тип задачи</w:t>
            </w:r>
          </w:p>
        </w:tc>
        <w:tc>
          <w:tcPr>
            <w:tcW w:type="dxa" w:w="7243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Задачи ИКТ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Тип продукта</w:t>
            </w:r>
          </w:p>
        </w:tc>
        <w:tc>
          <w:tcPr>
            <w:tcW w:type="dxa" w:w="7243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Программное обеспечение / информационная система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Статус</w:t>
            </w:r>
          </w:p>
        </w:tc>
        <w:tc>
          <w:tcPr>
            <w:tcW w:type="dxa" w:w="7243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Идея; требуется разработка MVP и пилотирование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Предмет проекта</w:t>
            </w:r>
          </w:p>
        </w:tc>
        <w:tc>
          <w:tcPr>
            <w:tcW w:type="dxa" w:w="7243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Автопроверка заданий на основе программных тестов и ИИ-анализа по рубрикам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Целевые пользователи</w:t>
            </w:r>
          </w:p>
        </w:tc>
        <w:tc>
          <w:tcPr>
            <w:tcW w:type="dxa" w:w="7243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Преподаватели, эксперты, студенты, академические менеджеры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Предполагаемая география</w:t>
            </w:r>
          </w:p>
        </w:tc>
        <w:tc>
          <w:tcPr>
            <w:tcW w:type="dxa" w:w="7243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Казахстан, с возможностью дальнейшего масштабирования</w:t>
            </w:r>
          </w:p>
        </w:tc>
      </w:tr>
    </w:tbl>
    <w:p>
      <w:pPr>
        <w:spacing w:after="20"/>
      </w:pPr>
    </w:p>
    <w:p>
      <w:pPr>
        <w:pStyle w:val="Heading1"/>
      </w:pPr>
      <w:r>
        <w:t>1 Цель и обоснование</w:t>
      </w:r>
    </w:p>
    <w:p>
      <w:r>
        <w:t>Цель — ускорить проверку практических заданий и сделать обратную связь прозрачной, воспроизводимой и полезной студенту. Система должна не просто генерировать оценку языковой моделью, а сопоставлять работу с проверяемыми критериями, прикладывать доказательства и позволять преподавателю утверждать результат.</w:t>
      </w:r>
    </w:p>
    <w:p>
      <w:r>
        <w:t>Ручная проверка программного кода, аналитических задач и проектов занимает значительное время. Между преподавателями возможны различия в интерпретации критериев, а студенты поздно получают объяснение ошибок и путь исправления. Формальная автопроверка покрывает тестируемые элементы, но плохо оценивает обоснование решений и качество презентации. Нужен комбинированный инструмент автоматических тестов, анализа структуры и экспертной ИИ-рецензии.</w:t>
      </w:r>
    </w:p>
    <w:p>
      <w:pPr>
        <w:pStyle w:val="Heading1"/>
      </w:pPr>
      <w:r>
        <w:t>2 Состав MVP и функциональные требования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06"/>
        <w:gridCol w:w="2102"/>
        <w:gridCol w:w="6854"/>
      </w:tblGrid>
      <w:tr>
        <w:trPr>
          <w:tblHeader/>
        </w:trPr>
        <w:tc>
          <w:tcPr>
            <w:tcW w:type="dxa" w:w="3273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E6EBF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ID</w:t>
            </w:r>
          </w:p>
        </w:tc>
        <w:tc>
          <w:tcPr>
            <w:tcW w:type="dxa" w:w="3273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E6EBF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Функция</w:t>
            </w:r>
          </w:p>
        </w:tc>
        <w:tc>
          <w:tcPr>
            <w:tcW w:type="dxa" w:w="3273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E6EBF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Требование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T2-01</w:t>
            </w:r>
          </w:p>
        </w:tc>
        <w:tc>
          <w:tcPr>
            <w:tcW w:type="dxa" w:w="210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Приём работ</w:t>
            </w:r>
          </w:p>
        </w:tc>
        <w:tc>
          <w:tcPr>
            <w:tcW w:type="dxa" w:w="6854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Загрузка файлов PDF, DOCX, IPYNB, PY, SQL, ZIP и ссылок на репозиторий по политике курса; проверка типа, размера, вирусов и версии отправки.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T2-02</w:t>
            </w:r>
          </w:p>
        </w:tc>
        <w:tc>
          <w:tcPr>
            <w:tcW w:type="dxa" w:w="210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Рубрикатор</w:t>
            </w:r>
          </w:p>
        </w:tc>
        <w:tc>
          <w:tcPr>
            <w:tcW w:type="dxa" w:w="6854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Настройка критериев, веса, порогов, обязательных требований и эталонных примеров. Версии рубрик сохраняются для каждой попытки.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T2-03</w:t>
            </w:r>
          </w:p>
        </w:tc>
        <w:tc>
          <w:tcPr>
            <w:tcW w:type="dxa" w:w="210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Тесты кода</w:t>
            </w:r>
          </w:p>
        </w:tc>
        <w:tc>
          <w:tcPr>
            <w:tcW w:type="dxa" w:w="6854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Запуск unit-тестов и статической проверки поддерживаемых языков (MVP: Python и SQL) в изолированном контейнере без доступа к внутренней сети.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T2-04</w:t>
            </w:r>
          </w:p>
        </w:tc>
        <w:tc>
          <w:tcPr>
            <w:tcW w:type="dxa" w:w="210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ИИ-рецензия</w:t>
            </w:r>
          </w:p>
        </w:tc>
        <w:tc>
          <w:tcPr>
            <w:tcW w:type="dxa" w:w="6854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Анализ текста, кода и структуры проекта по рубрике с комментариями и ссылками на проверенные участки работы; разделение проверенного факта и предположения.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T2-05</w:t>
            </w:r>
          </w:p>
        </w:tc>
        <w:tc>
          <w:tcPr>
            <w:tcW w:type="dxa" w:w="210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Сопоставление результатов</w:t>
            </w:r>
          </w:p>
        </w:tc>
        <w:tc>
          <w:tcPr>
            <w:tcW w:type="dxa" w:w="6854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Единый отчёт с результатами программных тестов и предварительной ИИ-оценкой по каждому критерию, обоснованием и уровнем уверенности.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T2-06</w:t>
            </w:r>
          </w:p>
        </w:tc>
        <w:tc>
          <w:tcPr>
            <w:tcW w:type="dxa" w:w="210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Подтверждение</w:t>
            </w:r>
          </w:p>
        </w:tc>
        <w:tc>
          <w:tcPr>
            <w:tcW w:type="dxa" w:w="6854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Преподаватель может утвердить или исправить любую оценку, оставить объяснение и отправить работу на доработку. До подтверждения балл имеет статус черновика.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T2-07</w:t>
            </w:r>
          </w:p>
        </w:tc>
        <w:tc>
          <w:tcPr>
            <w:tcW w:type="dxa" w:w="210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Обратная связь</w:t>
            </w:r>
          </w:p>
        </w:tc>
        <w:tc>
          <w:tcPr>
            <w:tcW w:type="dxa" w:w="6854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Студент получает конкретные замечания и рекомендации на русском или казахском; хранится история попыток и изменений.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T2-08</w:t>
            </w:r>
          </w:p>
        </w:tc>
        <w:tc>
          <w:tcPr>
            <w:tcW w:type="dxa" w:w="210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Аналитика</w:t>
            </w:r>
          </w:p>
        </w:tc>
        <w:tc>
          <w:tcPr>
            <w:tcW w:type="dxa" w:w="6854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Отчёты по критериям, типовым ошибкам, срокам и расхождениям ИИ/эксперта; выгрузка CSV/PDF и интеграция с LMS по API.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T2-09</w:t>
            </w:r>
          </w:p>
        </w:tc>
        <w:tc>
          <w:tcPr>
            <w:tcW w:type="dxa" w:w="210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Сигналы сходства</w:t>
            </w:r>
          </w:p>
        </w:tc>
        <w:tc>
          <w:tcPr>
            <w:tcW w:type="dxa" w:w="6854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Опциональная подсветка похожих работ для ручной проверки; сходство и вероятное использование ИИ не являются автоматическим доказательством нарушения.</w:t>
            </w:r>
          </w:p>
        </w:tc>
      </w:tr>
    </w:tbl>
    <w:p>
      <w:pPr>
        <w:spacing w:after="20"/>
      </w:pPr>
    </w:p>
    <w:p>
      <w:pPr>
        <w:pStyle w:val="Heading1"/>
      </w:pPr>
      <w:r>
        <w:t>3 Пользовательские сценарии</w:t>
      </w:r>
    </w:p>
    <w:p>
      <w:pPr>
        <w:ind w:left="259" w:hanging="259"/>
      </w:pPr>
      <w:r>
        <w:t>1.  Методист создаёт задание с рубрикой и тестами, публикует его для конкретной учебной группы.</w:t>
      </w:r>
    </w:p>
    <w:p>
      <w:pPr>
        <w:ind w:left="259" w:hanging="259"/>
      </w:pPr>
      <w:r>
        <w:t>2.  Студент отправляет код или проект; система безопасно выполняет тесты и предлагает предварительную рецензию по критериям.</w:t>
      </w:r>
    </w:p>
    <w:p>
      <w:pPr>
        <w:ind w:left="259" w:hanging="259"/>
      </w:pPr>
      <w:r>
        <w:t>3.  Преподаватель изучает объяснения и артефакты проверки, подтверждает или редактирует оценку и возвращает студенту персонализированную обратную связь.</w:t>
      </w:r>
    </w:p>
    <w:p>
      <w:pPr>
        <w:ind w:left="259" w:hanging="259"/>
      </w:pPr>
      <w:r>
        <w:t>4.  Руководитель обучения анализирует частые ошибки и согласованность оценок между преподавателями.</w:t>
      </w:r>
    </w:p>
    <w:p>
      <w:pPr>
        <w:pStyle w:val="Heading1"/>
      </w:pPr>
      <w:r>
        <w:t>4 Архитектура и данные</w:t>
      </w:r>
    </w:p>
    <w:p>
      <w:r>
        <w:t>Рекомендуемая архитектура: веб-интерфейс → сервис приёма работ и хранилище артефактов → очередь заданий → песочница для тестов кода → модуль ИИ-рецензирования по рубрике → модуль подтверждения преподавателем → журнал аудита и API учебной платформы. Запуск присланного студентом кода выполняется с ограничением времени, памяти, доступа к сети и файловой системе.</w:t>
      </w:r>
    </w:p>
    <w:p>
      <w:r>
        <w:t>Для пилота необходимы согласованные рубрики, эталонные тесты, обезличенные студенческие работы с экспертными оценками, образцы обратной связи и тестовый доступ к LMS/API. Работы студентов и результаты оценивания используются в модели только в объёме, согласованном заказчиком и допустимом правами доступа.</w:t>
      </w:r>
    </w:p>
    <w:p>
      <w:pPr>
        <w:pStyle w:val="Heading1"/>
      </w:pPr>
      <w:r>
        <w:t>5 Границы и контроль качества</w:t>
      </w:r>
    </w:p>
    <w:p>
      <w:pPr>
        <w:pStyle w:val="ListBullet"/>
      </w:pPr>
      <w:r>
        <w:t>MVP охватывает проверку Python, SQL и текстового проектного отчёта; расширение на иные языки программирования и типы заданий оформляется отдельным этапом.</w:t>
      </w:r>
    </w:p>
    <w:p>
      <w:pPr>
        <w:pStyle w:val="ListBullet"/>
      </w:pPr>
      <w:r>
        <w:t>Финальная оценка, допуск, отчисление или подтверждение компетенции определяются уполномоченным человеком и правилами образовательной программы.</w:t>
      </w:r>
    </w:p>
    <w:p>
      <w:pPr>
        <w:pStyle w:val="ListBullet"/>
      </w:pPr>
      <w:r>
        <w:t>Система не заменяет внешнюю независимую итоговую оценку компетенции, в том числе предусмотренную условиями конкретных грантовых программ.</w:t>
      </w:r>
    </w:p>
    <w:p>
      <w:pPr>
        <w:pStyle w:val="ListBullet"/>
      </w:pPr>
      <w:r>
        <w:t>Модуль сходства работ — инструмент для анализа преподавателем, а не автоматическое обвинение в плагиате или недобросовестности.</w:t>
      </w:r>
    </w:p>
    <w:p>
      <w:pPr>
        <w:pStyle w:val="Heading1"/>
      </w:pPr>
      <w:r>
        <w:t>Общие технические и нефункциональные требования</w:t>
      </w:r>
    </w:p>
    <w:p>
      <w:pPr>
        <w:pStyle w:val="ListBullet"/>
      </w:pPr>
      <w:r>
        <w:t>Веб-интерфейс, адаптивный для компьютера и смартфона; ролевая модель доступа: студент, преподаватель, методист, администратор.</w:t>
      </w:r>
    </w:p>
    <w:p>
      <w:pPr>
        <w:pStyle w:val="ListBullet"/>
      </w:pPr>
      <w:r>
        <w:t>Разделение сред разработки, тестирования и эксплуатации; защищённые API, централизованные журналы действий, резервные копии, мониторинг ошибок и нагрузки.</w:t>
      </w:r>
    </w:p>
    <w:p>
      <w:pPr>
        <w:pStyle w:val="ListBullet"/>
      </w:pPr>
      <w:r>
        <w:t>Минимизация персональных данных, шифрование при передаче и хранении, разграничение доступа по курсу и группе, настройка срока хранения и удаления данных.</w:t>
      </w:r>
    </w:p>
    <w:p>
      <w:pPr>
        <w:pStyle w:val="ListBullet"/>
      </w:pPr>
      <w:r>
        <w:t>Внешние ИИ-сервисы допустимы только после согласования маршрута данных заказчиком; должна быть возможность выбрать локальную модель или модель в согласованной инфраструктуре.</w:t>
      </w:r>
    </w:p>
    <w:p>
      <w:pPr>
        <w:pStyle w:val="ListBullet"/>
      </w:pPr>
      <w:r>
        <w:t>Разработка модульной архитектуры, наличие документации API, инструкций развёртывания, системных тестов и исходного кода по согласованным условиям договора.</w:t>
      </w:r>
    </w:p>
    <w:p>
      <w:pPr>
        <w:pStyle w:val="ListBullet"/>
      </w:pPr>
      <w:r>
        <w:t>Полная поддержка русского языка, базовая полноценная поддержка казахского языка и единая терминология в образовательных материалах.</w:t>
      </w:r>
    </w:p>
    <w:p>
      <w:pPr>
        <w:pStyle w:val="Heading1"/>
      </w:pPr>
      <w:r>
        <w:t>6 Критерии приёмки MVP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811"/>
      </w:tblGrid>
      <w:tr>
        <w:trPr>
          <w:tblHeader/>
        </w:trPr>
        <w:tc>
          <w:tcPr>
            <w:tcW w:type="dxa" w:w="4910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E6EBF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Критерий</w:t>
            </w:r>
          </w:p>
        </w:tc>
        <w:tc>
          <w:tcPr>
            <w:tcW w:type="dxa" w:w="4910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E6EBF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Способ проверки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Надёжность формальных тестов</w:t>
            </w:r>
          </w:p>
        </w:tc>
        <w:tc>
          <w:tcPr>
            <w:tcW w:type="dxa" w:w="6811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Не менее 95% из 100 эталонных тестовых работ получают ожидаемый результат запуска и исполнения тестов, без ошибок окружения.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Согласованность с экспертом</w:t>
            </w:r>
          </w:p>
        </w:tc>
        <w:tc>
          <w:tcPr>
            <w:tcW w:type="dxa" w:w="6811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На не менее 80 ранее проверенных работах не менее 85% предварительных оценок находятся в пределах ±10 баллов по 100-балльной шкале от согласованного экспертного эталона.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Прозрачность оценок</w:t>
            </w:r>
          </w:p>
        </w:tc>
        <w:tc>
          <w:tcPr>
            <w:tcW w:type="dxa" w:w="6811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Для каждого предварительного балла выводятся критерий, объяснение и проверяемый фрагмент/результат теста; преподаватель может изменить оценку.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Безопасность выполнения кода</w:t>
            </w:r>
          </w:p>
        </w:tc>
        <w:tc>
          <w:tcPr>
            <w:tcW w:type="dxa" w:w="6811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Комплекс негативных тестов подтверждает запрет на сетевой доступ, выход за каталог исполнения и превышение лимитов ресурсов.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Скорость</w:t>
            </w:r>
          </w:p>
        </w:tc>
        <w:tc>
          <w:tcPr>
            <w:tcW w:type="dxa" w:w="6811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Не менее 95% типовых работ до согласованного лимита обрабатываются за 5 минут без ожидания преподавательского подтверждения.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Корректность прав доступа</w:t>
            </w:r>
          </w:p>
        </w:tc>
        <w:tc>
          <w:tcPr>
            <w:tcW w:type="dxa" w:w="6811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Студент не получает материалы другого студента, закрытые рубрики и ответы; протокол испытаний с ролевыми тест-кейсами подписан.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Функциональная готовность</w:t>
            </w:r>
          </w:p>
        </w:tc>
        <w:tc>
          <w:tcPr>
            <w:tcW w:type="dxa" w:w="6811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Все обязательные функции T2-01–T2-08 подтверждены на демо; критические замечания устранены до приёмки.</w:t>
            </w:r>
          </w:p>
        </w:tc>
      </w:tr>
    </w:tbl>
    <w:p>
      <w:pPr>
        <w:spacing w:after="20"/>
      </w:pPr>
    </w:p>
    <w:p>
      <w:pPr>
        <w:pStyle w:val="Heading1"/>
      </w:pPr>
      <w:r>
        <w:t>7 Ожидаемый эффект и измерение</w:t>
      </w:r>
    </w:p>
    <w:p>
      <w:pPr>
        <w:pStyle w:val="ListBullet"/>
      </w:pPr>
      <w:r>
        <w:t>Сокращение среднего времени предварительной проверки одной работы; измеряется сравнением ручного процесса и процесса с ИИ в пилоте.</w:t>
      </w:r>
    </w:p>
    <w:p>
      <w:pPr>
        <w:pStyle w:val="ListBullet"/>
      </w:pPr>
      <w:r>
        <w:t>Сокращение времени до предоставления развёрнутой обратной связи студенту при сохранении решения за преподавателем.</w:t>
      </w:r>
    </w:p>
    <w:p>
      <w:pPr>
        <w:pStyle w:val="ListBullet"/>
      </w:pPr>
      <w:r>
        <w:t>Повышение единообразия оценивания и прозрачности причин снижения балла; определяется сравнением с экспертным эталоном и частотой исправлений.</w:t>
      </w:r>
    </w:p>
    <w:p>
      <w:r>
        <w:t>Экономический и образовательный эффект оценивается по результатам пилота; приведённые пороги качества — критерии разработки, а не гарантированный эффект для заказчика.</w:t>
      </w:r>
    </w:p>
    <w:p>
      <w:pPr>
        <w:pStyle w:val="Heading1"/>
      </w:pPr>
      <w:r>
        <w:t>8 Результаты работ</w:t>
      </w:r>
    </w:p>
    <w:p>
      <w:pPr>
        <w:pStyle w:val="ListBullet"/>
      </w:pPr>
      <w:r>
        <w:t>Исходный код и работающий MVP с безопасной средой проверки кода.</w:t>
      </w:r>
    </w:p>
    <w:p>
      <w:pPr>
        <w:pStyle w:val="ListBullet"/>
      </w:pPr>
      <w:r>
        <w:t>Редактор рубрик, интерфейсы преподавателя и студента, отчёты и API-интеграция.</w:t>
      </w:r>
    </w:p>
    <w:p>
      <w:pPr>
        <w:pStyle w:val="ListBullet"/>
      </w:pPr>
      <w:r>
        <w:t>Набор автоматических и экспертных тест-кейсов, протокол валидации оценок, инструкции и эксплуатационная документация.</w:t>
      </w:r>
    </w:p>
    <w:p>
      <w:pPr>
        <w:pStyle w:val="Heading1"/>
      </w:pPr>
      <w:r>
        <w:t>Этапы реализации и взаимодействие</w:t>
      </w:r>
    </w:p>
    <w:p>
      <w:pPr>
        <w:ind w:left="259" w:hanging="259"/>
      </w:pPr>
      <w:r>
        <w:t>1.  Аналитика и проектирование: обследование действующей образовательной среды, уточнение ролей, данных, интеграций, согласование метрик и макетов (ориентир: 1–2 недели).</w:t>
      </w:r>
    </w:p>
    <w:p>
      <w:pPr>
        <w:ind w:left="259" w:hanging="259"/>
      </w:pPr>
      <w:r>
        <w:t>2.  Разработка MVP: реализация ключевых функций, интеграций и административного интерфейса; тестирование на неперсональных или обезличенных данных (ориентир: 6–10 недель).</w:t>
      </w:r>
    </w:p>
    <w:p>
      <w:pPr>
        <w:ind w:left="259" w:hanging="259"/>
      </w:pPr>
      <w:r>
        <w:t>3.  Пилот: проверка на согласованной выборке обезличенных работ из нескольких учебных модулей и сравнение результата с преподавателями (ориентир: 3–4 недели).</w:t>
      </w:r>
    </w:p>
    <w:p>
      <w:pPr>
        <w:ind w:left="259" w:hanging="259"/>
      </w:pPr>
      <w:r>
        <w:t>4.  Приёмка и передача: устранение критических замечаний, техническая документация, обучение сотрудников, план сопровождения и масштабирования.</w:t>
      </w:r>
    </w:p>
    <w:p>
      <w:r>
        <w:t>Сроки предварительные и подлежат уточнению исполнителем после аудита доступных систем и материалов. Проект может выполняться поэтапно с отдельной приёмкой MVP и пилота.</w:t>
      </w:r>
    </w:p>
    <w:p>
      <w:pPr>
        <w:pStyle w:val="Heading1"/>
      </w:pPr>
      <w:r>
        <w:t>Требования к предложению исполнителя</w:t>
      </w:r>
    </w:p>
    <w:p>
      <w:r>
        <w:t>Предложение должно включать опыт команды, архитектуру, сроки и стоимость по этапам, демо, подход к проверке качества и риски. Права на результат, обработка данных и сопровождение определяются договором.</w:t>
      </w:r>
    </w:p>
    <w:sectPr w:rsidR="00FC693F" w:rsidRPr="0006063C" w:rsidSect="00034616">
      <w:footerReference w:type="default" r:id="rId9"/>
      <w:pgSz w:w="12240" w:h="15840"/>
      <w:pgMar w:top="792" w:right="1210" w:bottom="720" w:left="12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E7781"/>
        <w:sz w:val="16"/>
      </w:rPr>
      <w:t>Проект технического задания  •  22 октября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/>
      <w:color w:val="20273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  <w:rPr>
      <w:rFonts w:ascii="Arial" w:hAnsi="Arial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