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</w:rPr>
        <w:t>ТОО Element Group  |  Технологическая задача ИКТ</w:t>
      </w:r>
    </w:p>
    <w:p>
      <w:pPr>
        <w:pStyle w:val="Title"/>
      </w:pPr>
      <w:r>
        <w:t>Интеллектуальный ИИ тьютор для персонализированного обучения</w:t>
      </w:r>
    </w:p>
    <w:p>
      <w:pPr>
        <w:spacing w:after="240"/>
      </w:pPr>
      <w:r>
        <w:t>Разработка программного модуля, который помогает студентам осваивать учебную программу, получать объяснения с опорой на материалы курса и выстраивать индивидуальную траекторию обучения.</w:t>
      </w:r>
    </w:p>
    <w:p>
      <w:pPr>
        <w:pStyle w:val="Heading1"/>
      </w:pPr>
      <w:r>
        <w:t>Паспорт проекта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243"/>
      </w:tblGrid>
      <w:tr>
        <w:trPr>
          <w:tblHeader/>
        </w:trPr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Параметр</w:t>
            </w:r>
          </w:p>
        </w:tc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Описание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Заказчик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ТОО Element Group; предполагаемое применение — образовательные программы Академии Extra.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Тип задачи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Задачи ИКТ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Тип продукта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Программное обеспечение / информационная система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Статус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Идея; требуется разработка MVP и пилотирование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Предмет проекта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ИИ-тьютор на базе языковой модели, поиска по базе знаний и анализа учебного прогресса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Целевые пользователи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Студенты, преподаватели, методисты, учебные менеджеры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Предполагаемая география</w:t>
            </w:r>
          </w:p>
        </w:tc>
        <w:tc>
          <w:tcPr>
            <w:tcW w:type="dxa" w:w="724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Казахстан, с возможностью дальнейшего масштабирования</w:t>
            </w:r>
          </w:p>
        </w:tc>
      </w:tr>
    </w:tbl>
    <w:p>
      <w:pPr>
        <w:spacing w:after="20"/>
      </w:pPr>
    </w:p>
    <w:p>
      <w:pPr>
        <w:pStyle w:val="Heading1"/>
      </w:pPr>
      <w:r>
        <w:t>1 Цель и обоснование</w:t>
      </w:r>
    </w:p>
    <w:p>
      <w:r>
        <w:t>Цель — обеспечить студенту доступную круглосуточную предметную поддержку на русском и казахском языках, а преподавателю — инструмент для персонализации обучения без пропорционального роста нагрузки на команду.</w:t>
      </w:r>
    </w:p>
    <w:p>
      <w:r>
        <w:t>Образовательные материалы разрознены по видеозаписям, презентациям, заданиям и чатам. Студенты с разной подготовкой испытывают неодинаковые затруднения, повторяют типовые вопросы и получают помощь с задержкой. Менеджеры и преподаватели не всегда видят проблему до накопления пропусков и несданных работ. Требуется единая ИИ-система, которая отвечает строго в контексте выбранного курса и фиксирует пробелы в знаниях.</w:t>
      </w:r>
    </w:p>
    <w:p>
      <w:pPr>
        <w:pStyle w:val="Heading1"/>
      </w:pPr>
      <w:r>
        <w:t>2 Состав MVP и функциональные требования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6"/>
        <w:gridCol w:w="2102"/>
        <w:gridCol w:w="6854"/>
      </w:tblGrid>
      <w:tr>
        <w:trPr>
          <w:tblHeader/>
        </w:trPr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ID</w:t>
            </w:r>
          </w:p>
        </w:tc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Функция</w:t>
            </w:r>
          </w:p>
        </w:tc>
        <w:tc>
          <w:tcPr>
            <w:tcW w:type="dxa" w:w="3273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Требование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T1-01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База знаний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Загрузка и версионирование PDF, DOCX, PPTX, текстов, расшифровок видео; привязка материалов к курсу, модулю и уроку, доступ только назначенным группам.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T1-02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Ответы по курсу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Чат с поиском по материалам (RAG): ответ на русском или казахском, ссылки на урок/фрагмент, указание неопределённости и отказ от выдумывания отсутствующих фактов.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T1-03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Объяснение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Пошаговые объяснения, примеры, вопросы для самопроверки; переключение уровня сложности, запрет прямой выдачи закрытых контрольных ответов по правилам курса.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T1-04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Диагностика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Короткие тематические мини-тесты, выявление пробелов и рекомендации конкретных уроков, материалов и практик для повторения.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T1-05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Персонализация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Индивидуальный план на неделю на основе пройденных модулей, результатов тестов и самостоятельных заданий; объяснение причины рекомендации.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T1-06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Кабинет наставника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Сводка типовых затруднений по группе, тем с низким освоением и вопросов без надёжного ответа; ручное подтверждение рекомендованных действий.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T1-07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Интеграции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REST API/webhooks для LMS или учебной CRM: пользователи, курсы, уроки, выполнение и результаты; SSO — при наличии у заказчика.</w:t>
            </w:r>
          </w:p>
        </w:tc>
      </w:tr>
      <w:tr>
        <w:trPr>
          <w:cantSplit/>
        </w:trPr>
        <w:tc>
          <w:tcPr>
            <w:tcW w:type="dxa" w:w="806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T1-08</w:t>
            </w:r>
          </w:p>
        </w:tc>
        <w:tc>
          <w:tcPr>
            <w:tcW w:type="dxa" w:w="210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Управление и контроль</w:t>
            </w:r>
          </w:p>
        </w:tc>
        <w:tc>
          <w:tcPr>
            <w:tcW w:type="dxa" w:w="6854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Панель администратора, настройки запрещённых тем, разграничение ролей, журнал вопросов и обратной связи, механизм исправления ответов.</w:t>
            </w:r>
          </w:p>
        </w:tc>
      </w:tr>
    </w:tbl>
    <w:p>
      <w:pPr>
        <w:spacing w:after="20"/>
      </w:pPr>
    </w:p>
    <w:p>
      <w:pPr>
        <w:pStyle w:val="Heading1"/>
      </w:pPr>
      <w:r>
        <w:t>3 Пользовательские сценарии</w:t>
      </w:r>
    </w:p>
    <w:p>
      <w:pPr>
        <w:ind w:left="259" w:hanging="259"/>
      </w:pPr>
      <w:r>
        <w:t>1.  Студент выбирает учебный модуль и задаёт вопрос; тьютор объясняет понятие, ссылается на конкретный материал курса и предлагает короткую практику.</w:t>
      </w:r>
    </w:p>
    <w:p>
      <w:pPr>
        <w:ind w:left="259" w:hanging="259"/>
      </w:pPr>
      <w:r>
        <w:t>2.  После мини-теста тьютор видит затруднение по конкретной теме и составляет план повторения из существующих материалов, не заменяя решение студента.</w:t>
      </w:r>
    </w:p>
    <w:p>
      <w:pPr>
        <w:ind w:left="259" w:hanging="259"/>
      </w:pPr>
      <w:r>
        <w:t>3.  Преподаватель просматривает анонимизированные типовые вопросы группы, дополняет методические материалы и корректирует правила тьютора.</w:t>
      </w:r>
    </w:p>
    <w:p>
      <w:pPr>
        <w:pStyle w:val="Heading1"/>
      </w:pPr>
      <w:r>
        <w:t>4 Архитектура и данные</w:t>
      </w:r>
    </w:p>
    <w:p>
      <w:r>
        <w:t>Рекомендуемая архитектура: веб-кабинет → сервис аутентификации → оркестратор ИИ → полнотекстовый и векторный поиск по курсовым материалам → языковая модель → сервис рекомендаций и журнал аудита. Индексация материалов должна поддерживать версии, права доступа и удаление. Выбор конкретной модели и инфраструктуры — предмет технического предложения исполнителя.</w:t>
      </w:r>
    </w:p>
    <w:p>
      <w:r>
        <w:t>Заказчик предоставляет на согласованном этапе учебные планы, методические материалы с подтверждёнными правами использования, обезличенные результаты упражнений и тестовый доступ к LMS/API. Для обучающихся должны использоваться только данные, необходимые для образовательного сценария.</w:t>
      </w:r>
    </w:p>
    <w:p>
      <w:pPr>
        <w:pStyle w:val="Heading1"/>
      </w:pPr>
      <w:r>
        <w:t>Общие технические и нефункциональные требования</w:t>
      </w:r>
    </w:p>
    <w:p>
      <w:pPr>
        <w:pStyle w:val="ListBullet"/>
      </w:pPr>
      <w:r>
        <w:t>Веб-интерфейс, адаптивный для компьютера и смартфона; ролевая модель доступа: студент, преподаватель, методист, администратор.</w:t>
      </w:r>
    </w:p>
    <w:p>
      <w:pPr>
        <w:pStyle w:val="ListBullet"/>
      </w:pPr>
      <w:r>
        <w:t>Разделение сред разработки, тестирования и эксплуатации; защищённые API, централизованные журналы действий, резервные копии, мониторинг ошибок и нагрузки.</w:t>
      </w:r>
    </w:p>
    <w:p>
      <w:pPr>
        <w:pStyle w:val="ListBullet"/>
      </w:pPr>
      <w:r>
        <w:t>Минимизация персональных данных, шифрование при передаче и хранении, разграничение доступа по курсу и группе, настройка срока хранения и удаления данных.</w:t>
      </w:r>
    </w:p>
    <w:p>
      <w:pPr>
        <w:pStyle w:val="ListBullet"/>
      </w:pPr>
      <w:r>
        <w:t>Внешние ИИ-сервисы допустимы только после согласования маршрута данных заказчиком; должна быть возможность выбрать локальную модель или модель в согласованной инфраструктуре.</w:t>
      </w:r>
    </w:p>
    <w:p>
      <w:pPr>
        <w:pStyle w:val="ListBullet"/>
      </w:pPr>
      <w:r>
        <w:t>Разработка модульной архитектуры, наличие документации API, инструкций развёртывания, системных тестов и исходного кода по согласованным условиям договора.</w:t>
      </w:r>
    </w:p>
    <w:p>
      <w:pPr>
        <w:pStyle w:val="ListBullet"/>
      </w:pPr>
      <w:r>
        <w:t>Полная поддержка русского языка, базовая полноценная поддержка казахского языка и единая терминология в образовательных материалах.</w:t>
      </w:r>
    </w:p>
    <w:p>
      <w:pPr>
        <w:pStyle w:val="Heading1"/>
      </w:pPr>
      <w:r>
        <w:t>5 Критерии приёмки MVP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811"/>
      </w:tblGrid>
      <w:tr>
        <w:trPr>
          <w:tblHeader/>
        </w:trPr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Критерий</w:t>
            </w:r>
          </w:p>
        </w:tc>
        <w:tc>
          <w:tcPr>
            <w:tcW w:type="dxa" w:w="4910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E6EBF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Способ проверки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Корректность и обоснованность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Не менее 85% ответов проходят экспертную оценку на 100 контрольных вопросах, сбалансированных по курсам и языкам; у ответов на факты из курса есть ссылка на источник.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Работа с отсутствующими сведениями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Не менее 90% из 30 намеренно неподдержанных вопросов получают корректное сообщение о нехватке данных, без выдуманных ссылок.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Русский и казахский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Обе локализации проверены носителями/методистами: не менее 80% из 50 ответов на каждом языке оценены как понятные и терминологически корректные.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Безопасность разграничения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Не допускается доступ студента к материалам другого курса или закрытым преподавательским файлам по 20 согласованным тест-кейсам.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Скорость и отказоустойчивость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На согласованном пилотном контуре 95% обычных ответов — не более 12 секунд при 20 одновременных активных диалогах.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Функциональная готовность</w:t>
            </w:r>
          </w:p>
        </w:tc>
        <w:tc>
          <w:tcPr>
            <w:tcW w:type="dxa" w:w="6811"/>
            <w:vAlign w:val="center"/>
            <w:tcMar>
              <w:top w:w="72" w:type="dxa"/>
              <w:bottom w:w="72" w:type="dxa"/>
              <w:left w:w="72" w:type="dxa"/>
              <w:right w:w="72" w:type="dxa"/>
            </w:tcMar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8FAFC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Все критические сценарии T1-01–T1-08 показаны на демо; замечания уровня blocker/critical устранены до подписания акта.</w:t>
            </w:r>
          </w:p>
        </w:tc>
      </w:tr>
    </w:tbl>
    <w:p>
      <w:pPr>
        <w:spacing w:after="20"/>
      </w:pPr>
    </w:p>
    <w:p>
      <w:pPr>
        <w:pStyle w:val="Heading1"/>
      </w:pPr>
      <w:r>
        <w:t>6 Ожидаемый эффект и измерение</w:t>
      </w:r>
    </w:p>
    <w:p>
      <w:pPr>
        <w:pStyle w:val="ListBullet"/>
      </w:pPr>
      <w:r>
        <w:t>Сокращение времени ожидания ответа на типовой вопрос и количества повторяющихся обращений к преподавателям; сравнение по данным пилота с исходной группой.</w:t>
      </w:r>
    </w:p>
    <w:p>
      <w:pPr>
        <w:pStyle w:val="ListBullet"/>
      </w:pPr>
      <w:r>
        <w:t>Рост доли студентов, регулярно выполняющих упражнения и изучающих рекомендуемые материалы; анализ событий учебной платформы.</w:t>
      </w:r>
    </w:p>
    <w:p>
      <w:pPr>
        <w:pStyle w:val="ListBullet"/>
      </w:pPr>
      <w:r>
        <w:t>Раннее выявление сложных тем через агрегированную аналитику вопросов и результатов мини-тестов.</w:t>
      </w:r>
    </w:p>
    <w:p>
      <w:r>
        <w:t>Целевые бизнес-эффекты следует подтвердить в пилоте: исходные метрики обучения у заказчика предварительно не зафиксированы. Решение не гарантирует индивидуальный образовательный результат и не принимает дисциплинарных решений без человека.</w:t>
      </w:r>
    </w:p>
    <w:p>
      <w:pPr>
        <w:pStyle w:val="Heading1"/>
      </w:pPr>
      <w:r>
        <w:t>7 Результаты работ</w:t>
      </w:r>
    </w:p>
    <w:p>
      <w:pPr>
        <w:pStyle w:val="ListBullet"/>
      </w:pPr>
      <w:r>
        <w:t>Исходный код и развёрнутый MVP, API и настроенные интеграции.</w:t>
      </w:r>
    </w:p>
    <w:p>
      <w:pPr>
        <w:pStyle w:val="ListBullet"/>
      </w:pPr>
      <w:r>
        <w:t>Административная панель и обучающие инструкции для студентов и преподавателей.</w:t>
      </w:r>
    </w:p>
    <w:p>
      <w:pPr>
        <w:pStyle w:val="ListBullet"/>
      </w:pPr>
      <w:r>
        <w:t>Набор контрольных кейсов на русском и казахском языках, протокол тестирования, инструкции эксплуатации и резервного восстановления.</w:t>
      </w:r>
    </w:p>
    <w:p>
      <w:pPr>
        <w:pStyle w:val="Heading1"/>
      </w:pPr>
      <w:r>
        <w:t>Этапы реализации и взаимодействие</w:t>
      </w:r>
    </w:p>
    <w:p>
      <w:pPr>
        <w:ind w:left="259" w:hanging="259"/>
      </w:pPr>
      <w:r>
        <w:t>1.  Аналитика и проектирование: обследование действующей образовательной среды, уточнение ролей, данных, интеграций, согласование метрик и макетов (ориентир: 1–2 недели).</w:t>
      </w:r>
    </w:p>
    <w:p>
      <w:pPr>
        <w:ind w:left="259" w:hanging="259"/>
      </w:pPr>
      <w:r>
        <w:t>2.  Разработка MVP: реализация ключевых функций, интеграций и административного интерфейса; тестирование на неперсональных или обезличенных данных (ориентир: 6–10 недель).</w:t>
      </w:r>
    </w:p>
    <w:p>
      <w:pPr>
        <w:ind w:left="259" w:hanging="259"/>
      </w:pPr>
      <w:r>
        <w:t>3.  Пилот: испытание на одной или двух учебных группах с предварительным согласованием критериев успешности (ориентир: 3–4 недели).</w:t>
      </w:r>
    </w:p>
    <w:p>
      <w:pPr>
        <w:ind w:left="259" w:hanging="259"/>
      </w:pPr>
      <w:r>
        <w:t>4.  Приёмка и передача: устранение критических замечаний, техническая документация, обучение сотрудников, план сопровождения и масштабирования.</w:t>
      </w:r>
    </w:p>
    <w:p>
      <w:r>
        <w:t>Сроки предварительные и подлежат уточнению исполнителем после аудита доступных систем и материалов. Проект может выполняться поэтапно с отдельной приёмкой MVP и пилота.</w:t>
      </w:r>
    </w:p>
    <w:p>
      <w:pPr>
        <w:pStyle w:val="Heading1"/>
      </w:pPr>
      <w:r>
        <w:t>Требования к предложению исполнителя</w:t>
      </w:r>
    </w:p>
    <w:p>
      <w:r>
        <w:t>Предложение должно включать опыт команды, архитектуру, сроки и стоимость по этапам, демо, подход к проверке качества и риски. Права на результат, обработка данных и сопровождение определяются договором.</w:t>
      </w:r>
    </w:p>
    <w:sectPr w:rsidR="00FC693F" w:rsidRPr="0006063C" w:rsidSect="00034616">
      <w:footerReference w:type="default" r:id="rId9"/>
      <w:pgSz w:w="12240" w:h="15840"/>
      <w:pgMar w:top="792" w:right="1210" w:bottom="720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E7781"/>
        <w:sz w:val="16"/>
      </w:rPr>
      <w:t>Проект технического задания  •  22 октября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rial" w:hAnsi="Arial"/>
      <w:color w:val="2027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