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4b9jgpdbh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Общие сведения о технологическом конкурсе “Industry 4.0 Pitch Battle”</w:t>
        <w:br w:type="textWrapping"/>
      </w:r>
      <w:r w:rsidDel="00000000" w:rsidR="00000000" w:rsidRPr="00000000">
        <w:rPr>
          <w:rtl w:val="0"/>
        </w:rPr>
        <w:t xml:space="preserve"> Питчинг технологических решений в сфере Индустрии 4.0 в рамках форума </w:t>
      </w:r>
      <w:r w:rsidDel="00000000" w:rsidR="00000000" w:rsidRPr="00000000">
        <w:rPr>
          <w:b w:val="1"/>
          <w:rtl w:val="0"/>
        </w:rPr>
        <w:t xml:space="preserve">Digital Bridge 2025</w:t>
      </w:r>
      <w:r w:rsidDel="00000000" w:rsidR="00000000" w:rsidRPr="00000000">
        <w:rPr>
          <w:rtl w:val="0"/>
        </w:rPr>
        <w:t xml:space="preserve"> (г. Астана, 2 октября 2025 года, 16:30–18:15).</w:t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Мы объявляем поиск и отбор</w:t>
      </w:r>
      <w:r w:rsidDel="00000000" w:rsidR="00000000" w:rsidRPr="00000000">
        <w:rPr>
          <w:rtl w:val="0"/>
        </w:rPr>
        <w:t xml:space="preserve"> инновационных решений в сфере </w:t>
      </w:r>
      <w:r w:rsidDel="00000000" w:rsidR="00000000" w:rsidRPr="00000000">
        <w:rPr>
          <w:b w:val="1"/>
          <w:rtl w:val="0"/>
        </w:rPr>
        <w:t xml:space="preserve">Индустрии 4.0</w:t>
      </w:r>
      <w:r w:rsidDel="00000000" w:rsidR="00000000" w:rsidRPr="00000000">
        <w:rPr>
          <w:rtl w:val="0"/>
        </w:rPr>
        <w:t xml:space="preserve">, с фокусом на нефтегазовую и горнодобывающую отрасли.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Задачи технологического конкурса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Предоставить возможность стартапам и технологическим компаниям заявить о своих проектах перед крупными промышленными предприятиями.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Определить лучшие цифровые и ИИ-решения по итогам экспертной оценки жюри и наградить их денежными призами в сумме 6 миллионов тенге.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afterAutospacing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Содействовать внедрению инновационных технологий в производственные процессы.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10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Направления проектов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Разработка, внедрение и/или применение элементов цифрового месторождения.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Цифровые решения в области энергоэффективности, снижения углеродного следа и экологического мониторинга.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Цифровизация, автоматизация и роботизация производственных процессов.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Системы промышленной кибербезопасности и защиты цифровой и технологической инфраструктуры.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Цифровые решения по промышленной безопасности.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100" w:before="0" w:lineRule="auto"/>
        <w:ind w:left="1440" w:hanging="360"/>
      </w:pPr>
      <w:r w:rsidDel="00000000" w:rsidR="00000000" w:rsidRPr="00000000">
        <w:rPr>
          <w:rtl w:val="0"/>
        </w:rPr>
        <w:t xml:space="preserve">Технологические решения на базе современных телекоммуникационных систем.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100" w:afterAutospacing="0" w:before="0" w:lineRule="auto"/>
        <w:ind w:left="1440" w:hanging="360"/>
      </w:pPr>
      <w:r w:rsidDel="00000000" w:rsidR="00000000" w:rsidRPr="00000000">
        <w:rPr>
          <w:rtl w:val="0"/>
        </w:rPr>
        <w:t xml:space="preserve">Другие решения в рамках Индустрии 4.0: промышленный искусственный интеллект, IoT, беспилотный транспорт и летательные аппараты.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10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Формат мероприятия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Презентация: 3 минуты.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Вопросы и ответы от жюри: 3 минуты.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Язык выступления: русский.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Сроки реализации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Прием заявок: до 25 сентября 2025 г.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Скрининг заявок: 26 сентября 2025 г.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Заслушивание и предварительный отбор внутренней комиссией: 29–30 сентября 2025 г.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Уведомление о прохождении в финальный питчинг: 30 сентября 2025 г.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Подготовка питчей и питч-деков: 1 октября 2025 г.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Финальный питчинг: 2 октября 2025 г. на Digital Bridge 2025 (МВЦ, Астана)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заслушивание и награждение</w:t>
      </w:r>
      <w:r w:rsidDel="00000000" w:rsidR="00000000" w:rsidRPr="00000000">
        <w:rPr>
          <w:rtl w:val="0"/>
        </w:rPr>
        <w:t xml:space="preserve"> 3 лучших проектов по решению жюри.</w:t>
      </w:r>
    </w:p>
    <w:p w:rsidR="00000000" w:rsidDel="00000000" w:rsidP="00000000" w:rsidRDefault="00000000" w:rsidRPr="00000000" w14:paraId="0000001A">
      <w:pPr>
        <w:spacing w:after="100" w:before="0"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Призовой фонд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1 место – 3 000 000 тенге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2 место – 2 000 000 тенге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4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3 место – 1 000 000 тенге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