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"/>
      </w:pPr>
      <w:r>
        <w:t>ТЕХНИЧЕСКОЕ ЗАДАНИЕ  •  ДЛЯ ПУБЛИКАЦИИ ТЕХНОЛОГИЧЕСКОЙ ЗАДАЧИ</w:t>
      </w:r>
    </w:p>
    <w:p>
      <w:pPr>
        <w:pStyle w:val="Title"/>
        <w:keepNext/>
        <w:spacing w:after="140"/>
      </w:pPr>
      <w:r>
        <w:rPr>
          <w:rFonts w:ascii="Carlito" w:hAnsi="Carlito"/>
          <w:b/>
          <w:color w:val="172D48"/>
          <w:sz w:val="32"/>
        </w:rPr>
        <w:t>Разработка и внедрение интеграционного решения</w:t>
        <w:br/>
        <w:t>для автоматизации корпоративного обучения</w:t>
        <w:br/>
        <w:t>через Битрикс24 и LMS</w:t>
      </w:r>
    </w:p>
    <w:p>
      <w:pPr>
        <w:pStyle w:val="Lead"/>
      </w:pPr>
      <w:r>
        <w:t>Формат: техническое проектирование, разработка интеграции, тестирование и внедрение. Используются действующие корпоративный Битрикс24 и LMS.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EDF3F7"/>
            <w:vAlign w:val="center"/>
            <w:tcBorders>
              <w:bottom w:val="single" w:sz="4" w:color="DFE5EB"/>
            </w:tcBorders>
            <w:tcBorders>
              <w:left w:val="single" w:sz="24" w:color="1B5384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7"/>
              </w:rPr>
              <w:t>Ключевое условие. Требуется интеграция существующих платформ, а не разработка новой LMS. Передавать только минимально необходимые сведения о новых сотрудниках, согласованные с ИБ.</w:t>
            </w:r>
          </w:p>
        </w:tc>
      </w:tr>
    </w:tbl>
    <w:p>
      <w:pPr>
        <w:spacing w:after="0"/>
      </w:pPr>
    </w:p>
    <w:p>
      <w:pPr>
        <w:pStyle w:val="Heading1"/>
      </w:pPr>
      <w:r>
        <w:t>1. Цель и описание задачи</w:t>
      </w:r>
    </w:p>
    <w:p>
      <w:pPr/>
      <w:r>
        <w:t>Цель: разработать и внедрить устойчивый механизм взаимодействия Битрикс24 и действующей LMS-платформы, который по согласованным событиям инициирует назначение обязательного обучения, получает статусы прохождения курсов и предоставляет ответственным сотрудникам информацию о результатах.</w:t>
      </w:r>
    </w:p>
    <w:p>
      <w:pPr/>
      <w:r>
        <w:t>Решение направлено на развитие текущего процесса корпоративного обучения: сокращение повторяющихся ручных действий, обеспечение согласованного обмена информацией и формирование отчётности без замены используемых систем. Конкретные события, полномочия и состав передаваемых сведений определяются до разработки.</w:t>
      </w:r>
    </w:p>
    <w:p>
      <w:pPr>
        <w:pStyle w:val="Heading1"/>
      </w:pPr>
      <w:r>
        <w:t>2. Текущий и целевой процессы (AS IS / TO BE)</w:t>
      </w:r>
    </w:p>
    <w:p>
      <w:pPr>
        <w:pStyle w:val="Small"/>
      </w:pPr>
      <w:r>
        <w:t>Сопоставление отражает предполагаемую модель автоматизации. Фактические сценарии и состав данных уточняются при обследовании действующих систем.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AS IS. Действующий подход</w:t>
            </w:r>
          </w:p>
        </w:tc>
        <w:tc>
          <w:tcPr>
            <w:tcW w:type="dxa" w:w="4649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TO BE. После внедрения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Битрикс24 и LMS используются для соответствующих корпоративных процессов.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Системы обмениваются согласованными данными через интеграционный механизм.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Назначение обучения новым сотрудникам предполагает действия ответственных лиц.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согласованном событии запускается сценарий назначения обязательных курсов.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Статусы и результаты обучения доступны в LMS и используются для контроля.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Согласованные статусы и результаты автоматически отражаются в Битрикс24.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Подготовка сводной информации может потребовать дополнительного сопоставления данных.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Формируются отчёты по назначению и прохождению обучения в пределах прав.</w:t>
            </w:r>
          </w:p>
        </w:tc>
      </w:tr>
    </w:tbl>
    <w:p>
      <w:pPr>
        <w:spacing w:after="0" w:before="0" w:line="96" w:lineRule="auto"/>
      </w:pPr>
    </w:p>
    <w:p>
      <w:pPr>
        <w:pStyle w:val="Heading1"/>
      </w:pPr>
      <w:r>
        <w:t>3. Архитектура и технологическая логика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Битрикс24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Согласованное событие; минимальные сведения о сотруднике</w:t>
            </w:r>
          </w:p>
        </w:tc>
        <w:tc>
          <w:tcPr>
            <w:tcW w:type="dxa" w:w="3213"/>
            <w:shd w:fill="E6F0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⇄ Интеграционный механизм ⇄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API/вебхуки или согласованный обмен; сопоставление; журнал</w:t>
            </w:r>
          </w:p>
        </w:tc>
        <w:tc>
          <w:tcPr>
            <w:tcW w:type="dxa" w:w="3213"/>
            <w:shd w:fill="EEF3F7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LMS</w:t>
            </w:r>
            <w:r>
              <w:br/>
            </w:r>
            <w:r>
              <w:rPr>
                <w:rFonts w:ascii="Carlito" w:hAnsi="Carlito"/>
                <w:b w:val="0"/>
                <w:color w:val="27333E"/>
                <w:sz w:val="16"/>
              </w:rPr>
              <w:t>Назначение курсов, прохождение обучения, результаты тестов</w:t>
            </w:r>
          </w:p>
        </w:tc>
      </w:tr>
    </w:tbl>
    <w:p>
      <w:pPr>
        <w:spacing w:after="0"/>
      </w:pPr>
    </w:p>
    <w:p>
      <w:pPr>
        <w:pStyle w:val="Small"/>
      </w:pPr>
      <w:r>
        <w:t>Основной поток: согласованное событие из Битрикс24 в LMS; обратная передача разрешённых статусов обучения. Конкретный механизм зависит от поддерживаемых интерфейсов обеих систем.</w:t>
      </w:r>
    </w:p>
    <w:p>
      <w:pPr>
        <w:pStyle w:val="Heading2"/>
      </w:pPr>
      <w:r>
        <w:t>3.1. Требования к интеграции / автоматизации</w:t>
      </w:r>
    </w:p>
    <w:p>
      <w:pPr/>
      <w:r>
        <w:t>•  Выполнить обследование доступных API, вебхуков, способов авторизации и ограничений обеих платформ. Зафиксировать схему событий и карту полей.</w:t>
      </w:r>
    </w:p>
    <w:p>
      <w:pPr/>
      <w:r>
        <w:t>•  Определить безопасный идентификатор сопоставления записей, механизм первичной привязки и правило предотвращения повторного создания пользователя или назначения курса.</w:t>
      </w:r>
    </w:p>
    <w:p>
      <w:pPr/>
      <w:r>
        <w:t>•  Обеспечить повторяемость операций: одинаковое событие не должно создавать дубликаты; временно неуспешные запросы должны поддерживать контролируемый повтор.</w:t>
      </w:r>
    </w:p>
    <w:p>
      <w:pPr/>
      <w:r>
        <w:t>•  Предусмотреть проверку корректности входных данных, журнал обмена и уведомления об ошибках без хранения избыточных персональных сведений.</w:t>
      </w:r>
    </w:p>
    <w:p>
      <w:pPr/>
      <w:r>
        <w:t>•  Определить источник достоверных данных для каждого поля; не передавать в LMS сведения, не требующиеся для организации обучения.</w:t>
      </w:r>
    </w:p>
    <w:p>
      <w:pPr>
        <w:pStyle w:val="Heading1"/>
      </w:pPr>
      <w:r>
        <w:t>4. Функциональные требования</w:t>
      </w:r>
    </w:p>
    <w:p>
      <w:pPr>
        <w:pStyle w:val="Heading2"/>
      </w:pPr>
      <w:r>
        <w:t>4.1. Сопоставление пользователей и назначение обучения</w:t>
      </w:r>
    </w:p>
    <w:p>
      <w:pPr/>
      <w:r>
        <w:t>Реализовать автоматическую обработку согласованного события о новом сотруднике и механизм назначения обязательных программ по настраиваемым правилам.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Компонент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Требуемая функция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Событие запуска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Получить событие из согласованного источника в Битрикс24; проверить его полноту и допустимость обработки.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Сопоставление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Найти существующую учётную запись LMS по согласованному идентификатору или создать запись в установленном порядке.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Назначение курса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Назначить программу по утверждённому правилу; фиксировать результат операции и исключать дубли.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Повторная обработка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Повторный запуск после ошибки не должен приводить к повторному созданию пользователя или назначения.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4.2. Получение результатов и контроль обучения</w:t>
      </w:r>
    </w:p>
    <w:p>
      <w:pPr/>
      <w:r>
        <w:t>Обеспечить согласованную синхронизацию статусов и результатов без переноса в Битрикс24 избыточных учебных материалов или лишних персональных сведений.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Данные / событие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Правила обработки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Статус курса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Получать разрешённые состояния: назначено, в процессе, завершено и другие, если их поддерживает LMS.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Результат тестирования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Передавать согласованный итоговый результат, необходимый для контроля выполнения обязательного обучения.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Отчётность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Формировать выборки по назначенным и завершённым программам с учётом ролей пользователей.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Ошибки интеграции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Показывать технический статус обмена, дату последней успешной обработки и необходимость повторной отправки.</w:t>
            </w:r>
          </w:p>
        </w:tc>
      </w:tr>
    </w:tbl>
    <w:p>
      <w:pPr>
        <w:spacing w:after="0" w:before="0" w:line="96" w:lineRule="auto"/>
      </w:pPr>
    </w:p>
    <w:p>
      <w:pPr>
        <w:pStyle w:val="Heading2"/>
      </w:pPr>
      <w:r>
        <w:t>4.3. Уведомления и технический мониторинг</w:t>
      </w:r>
    </w:p>
    <w:p>
      <w:pPr/>
      <w:r>
        <w:t>•  Автоматически информировать ответственных о значимых событиях и сбоях по согласованным правилам.</w:t>
      </w:r>
    </w:p>
    <w:p>
      <w:pPr/>
      <w:r>
        <w:t>•  Вести журнал интеграции с техническими идентификаторами событий, временем, статусами и причиной ошибки.</w:t>
      </w:r>
    </w:p>
    <w:p>
      <w:pPr/>
      <w:r>
        <w:t>•  Предусмотреть возможность изменения правил назначения и состава отчётности без переработки всей интеграции.</w:t>
      </w:r>
    </w:p>
    <w:p>
      <w:pPr>
        <w:pStyle w:val="Heading1"/>
      </w:pPr>
      <w:r>
        <w:t>5. Доступ, информационная безопасность и эксплуатация</w:t>
      </w:r>
    </w:p>
    <w:p>
      <w:pPr/>
      <w:r>
        <w:t>•  Согласовать с ИБ минимально необходимый состав сведений о новых сотрудниках. Эти сведения могут относиться к персональным данным и требуют соответствующей защиты.</w:t>
      </w:r>
    </w:p>
    <w:p>
      <w:pPr/>
      <w:r>
        <w:t>•  Использовать защищённые каналы обмена, безопасное хранение интеграционных ключей и принцип минимальных прав сервисных учётных записей.</w:t>
      </w:r>
    </w:p>
    <w:p>
      <w:pPr/>
      <w:r>
        <w:t>•  Разграничить доступ к информации об обучении по ролям; журналы интеграции не должны раскрывать секреты и избыточные личные сведения.</w:t>
      </w:r>
    </w:p>
    <w:p>
      <w:pPr/>
      <w:r>
        <w:t>•  Предусмотреть контроль временной недоступности систем, повторную обработку с ограничениями и диагностику без потери значимых событий.</w:t>
      </w:r>
    </w:p>
    <w:p>
      <w:pPr/>
      <w:r>
        <w:t>•  Согласовать схему передачи данных, сроки хранения технических журналов и порядок сопровождения до ввода в эксплуатацию.</w:t>
      </w:r>
    </w:p>
    <w:p>
      <w:pPr>
        <w:pStyle w:val="Heading1"/>
      </w:pPr>
      <w:r>
        <w:t>6. Этапы выполнения и критерии приёмки</w:t>
      </w:r>
    </w:p>
    <w:p>
      <w:pPr>
        <w:pStyle w:val="Heading2"/>
      </w:pPr>
      <w:r>
        <w:t>6.1. Последовательность работ</w:t>
      </w:r>
    </w:p>
    <w:p>
      <w:pPr/>
      <w:r>
        <w:t>Обследование конфигураций и доступных API → согласование событий и минимального набора данных → проектирование карты полей и правил обучения → реализация интеграции → проверка ошибок и прав → тестирование согласованных сценариев → передача документации.</w:t>
      </w:r>
    </w:p>
    <w:p>
      <w:pPr>
        <w:pStyle w:val="Heading2"/>
      </w:pPr>
      <w:r>
        <w:t>6.2. Проверяемые сценарии приёмки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2381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6917"/>
            <w:shd w:fill="1B5384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FFFFFF"/>
                <w:sz w:val="16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Идентификация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Согласованное событие на тестовом сотруднике приводит к правильному сопоставлению LMS-пользователя без дублирования.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Назначение курсов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Обязательная программа назначается по утверждённому правилу и отображается в LMS.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Повтор события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Повторная отправка того же события не создаёт лишнего пользователя или повторного назначения.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Обратный статус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Завершение тестового курса отражается в разрешённом поле Битрикс24 по заданному регламенту.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Ошибка связи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При временной недоступности API операция фиксируется, повторяется по правилам и не приводит к потере события.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Доступ и данные</w:t>
            </w:r>
          </w:p>
        </w:tc>
        <w:tc>
          <w:tcPr>
            <w:tcW w:type="dxa" w:w="4819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Пользователь без разрешения не видит закрытые сведения; состав обмена соответствует согласованному минимуму.</w:t>
            </w:r>
          </w:p>
        </w:tc>
      </w:tr>
      <w:tr>
        <w:trPr>
          <w:cantSplit/>
        </w:trPr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/>
                <w:color w:val="27333E"/>
                <w:sz w:val="16"/>
              </w:rPr>
              <w:t>Отчётность</w:t>
            </w:r>
          </w:p>
        </w:tc>
        <w:tc>
          <w:tcPr>
            <w:tcW w:type="dxa" w:w="4819"/>
            <w:shd w:fill="F2F6F8"/>
            <w:vAlign w:val="center"/>
            <w:tcBorders>
              <w:bottom w:val="single" w:sz="4" w:color="DFE5EB"/>
            </w:tcBorders>
          </w:tcPr>
          <w:p>
            <w:pPr>
              <w:spacing w:after="30" w:before="20" w:line="252" w:lineRule="auto"/>
            </w:pPr>
            <w:r/>
            <w:r>
              <w:rPr>
                <w:rFonts w:ascii="Carlito" w:hAnsi="Carlito"/>
                <w:b w:val="0"/>
                <w:color w:val="27333E"/>
                <w:sz w:val="16"/>
              </w:rPr>
              <w:t>Доступна выборка по назначенным и пройденным программам для уполномоченной роли.</w:t>
            </w:r>
          </w:p>
        </w:tc>
      </w:tr>
    </w:tbl>
    <w:p>
      <w:pPr>
        <w:spacing w:after="0" w:before="0" w:line="96" w:lineRule="auto"/>
      </w:pPr>
    </w:p>
    <w:p>
      <w:pPr>
        <w:pStyle w:val="Small"/>
      </w:pPr>
      <w:r>
        <w:t>Итоговый результат работы исполнителя: работающий модуль обмена между Битрикс24 и LMS, реализованные сценарии назначения и синхронизации, карта полей, описание API/событий, правила повторной обработки, тестовый протокол и инструкция по сопровождению.</w:t>
      </w:r>
    </w:p>
    <w:p>
      <w:pPr>
        <w:pStyle w:val="Heading1"/>
      </w:pPr>
      <w:r>
        <w:t>7. Ожидаемый эффект</w:t>
      </w:r>
    </w:p>
    <w:p>
      <w:pPr/>
      <w:r>
        <w:t>Сокращение времени на назначение обязательного обучения и сверку статусов; повышение оперативности контроля учебных программ; снижение доли повторного ввода информации. Результаты целесообразно оценивать по времени назначения курсов, количеству ручных действий и успешности обмена.</w:t>
      </w:r>
    </w:p>
    <w:p>
      <w:pPr>
        <w:pStyle w:val="Heading1"/>
      </w:pPr>
      <w:r>
        <w:t>8. Формат взаимодействия и уточняемые параметры</w:t>
      </w:r>
    </w:p>
    <w:p>
      <w:pPr/>
      <w:r>
        <w:t>Формат: проектирование, разработка, тестирование и внедрение согласованного интеграционного решения. На этапе обследования уточняются используемая конфигурация LMS, поддерживаемые интерфейсы, триггеры, правила назначения, перечень передаваемых данных, роли и требования ИБ. Работы, уже предусмотренные текущим внедрением LMS, повторно не включаются; фактическая граница самостоятельной задачи согласовывается перед запуском.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77" w:bottom="879" w:left="1191" w:header="454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Carlito" w:hAnsi="Carlito"/>
        <w:color w:val="5B6F81"/>
        <w:sz w:val="16"/>
      </w:rPr>
      <w:t xml:space="preserve">ТЗ  |  Битрикс24 + LMS     •     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rlito" w:hAnsi="Carlito"/>
        <w:b/>
        <w:color w:val="66737F"/>
        <w:sz w:val="16"/>
      </w:rPr>
      <w:t>ТЕХНОЛОГИЧЕСКАЯ ЗАДАЧА  /  ASTANA HUB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6" w:line="260" w:lineRule="auto"/>
    </w:pPr>
    <w:rPr>
      <w:rFonts w:ascii="Carlito" w:hAnsi="Carlito" w:eastAsia="Carlito"/>
      <w:b w:val="0"/>
      <w:color w:val="2733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 w:eastAsia="Carlito"/>
      <w:b/>
      <w:bCs/>
      <w:color w:val="172D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color w:val="1B538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basedOn w:val="Normal"/>
    <w:pPr>
      <w:spacing w:after="80" w:line="254" w:lineRule="auto"/>
    </w:pPr>
    <w:rPr>
      <w:rFonts w:ascii="Carlito" w:hAnsi="Carlito"/>
      <w:b/>
      <w:color w:val="66737F"/>
      <w:sz w:val="16"/>
    </w:rPr>
  </w:style>
  <w:style w:type="paragraph" w:customStyle="1" w:styleId="Lead">
    <w:name w:val="Lead"/>
    <w:basedOn w:val="Normal"/>
    <w:pPr>
      <w:spacing w:after="80" w:line="254" w:lineRule="auto"/>
    </w:pPr>
    <w:rPr>
      <w:rFonts w:ascii="Carlito" w:hAnsi="Carlito"/>
      <w:b w:val="0"/>
      <w:color w:val="27333E"/>
      <w:sz w:val="20"/>
    </w:rPr>
  </w:style>
  <w:style w:type="paragraph" w:customStyle="1" w:styleId="Small">
    <w:name w:val="Small"/>
    <w:basedOn w:val="Normal"/>
    <w:pPr>
      <w:spacing w:after="80" w:line="254" w:lineRule="auto"/>
    </w:pPr>
    <w:rPr>
      <w:rFonts w:ascii="Carlito" w:hAnsi="Carlito"/>
      <w:b w:val="0"/>
      <w:color w:val="27333E"/>
      <w:sz w:val="18"/>
    </w:rPr>
  </w:style>
  <w:style w:type="paragraph" w:customStyle="1" w:styleId="Note">
    <w:name w:val="Note"/>
    <w:basedOn w:val="Normal"/>
    <w:pPr>
      <w:spacing w:after="80" w:line="254" w:lineRule="auto"/>
    </w:pPr>
    <w:rPr>
      <w:rFonts w:ascii="Carlito" w:hAnsi="Carlito"/>
      <w:b w:val="0"/>
      <w:color w:val="66737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и внедрение интеграционного решения для автоматизации корпоративного обучения через Битрикс24 и LMS</dc:title>
  <dc:subject>Техническое задание для публикации технологической задачи Astana Hub</dc:subject>
  <dc:creator/>
  <cp:keywords>Битрикс24, 1С, технологическая задача, интеграция, учёт техники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