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Meta"/>
      </w:pPr>
      <w:r>
        <w:t>ТЕХНИЧЕСКОЕ ЗАДАНИЕ  •  ДЛЯ ПУБЛИКАЦИИ ТЕХНОЛОГИЧЕСКОЙ ЗАДАЧИ</w:t>
      </w:r>
    </w:p>
    <w:p>
      <w:pPr>
        <w:pStyle w:val="Title"/>
        <w:keepNext/>
        <w:spacing w:after="140"/>
      </w:pPr>
      <w:r>
        <w:rPr>
          <w:rFonts w:ascii="Carlito" w:hAnsi="Carlito"/>
          <w:b/>
          <w:color w:val="172D48"/>
          <w:sz w:val="32"/>
        </w:rPr>
        <w:t>Разработка и внедрение системы автоматизированной</w:t>
        <w:br/>
        <w:t>обработки и маршрутизации внутренних IT-заявок</w:t>
        <w:br/>
        <w:t>в Битрикс24</w:t>
      </w:r>
    </w:p>
    <w:p>
      <w:pPr>
        <w:pStyle w:val="Lead"/>
      </w:pPr>
      <w:r>
        <w:t>Формат: разработка и внедрение технологического решения. Рабочая среда: действующий корпоративный портал Битрикс24.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fill="EDF3F7"/>
            <w:vAlign w:val="center"/>
            <w:tcBorders>
              <w:bottom w:val="single" w:sz="4" w:color="DFE5EB"/>
            </w:tcBorders>
            <w:tcBorders>
              <w:left w:val="single" w:sz="24" w:color="1B5384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7"/>
              </w:rPr>
              <w:t>Ключевое условие. Регистрация, обработка, маршрутизация, контроль сроков и отчётность должны функционировать непосредственно в Битрикс24. Отдельная независимая Service Desk-платформа не предусматривается.</w:t>
            </w:r>
          </w:p>
        </w:tc>
      </w:tr>
    </w:tbl>
    <w:p>
      <w:pPr>
        <w:spacing w:after="0"/>
      </w:pPr>
    </w:p>
    <w:p>
      <w:pPr>
        <w:pStyle w:val="Heading1"/>
      </w:pPr>
      <w:r>
        <w:t>1. Цель и описание задачи</w:t>
      </w:r>
    </w:p>
    <w:p>
      <w:pPr/>
      <w:r>
        <w:t>Цель: спроектировать и внедрить единый механизм подачи и сопровождения IT-обращений внутри Битрикс24 с настраиваемыми формами, правилами классификации и автоматического назначения исполнителей, контрольными сроками, уведомлениями и аналитикой.</w:t>
      </w:r>
    </w:p>
    <w:p>
      <w:pPr/>
      <w:r>
        <w:t>Решение развивает действующий порядок технической поддержки сотрудников: обращения по настройке программ, корпоративным сервисам, рабочим местам и оборудованию должны обрабатываться в единой рабочей среде с сохранением истории и разграничением прав.</w:t>
      </w:r>
    </w:p>
    <w:p>
      <w:pPr>
        <w:pStyle w:val="Heading1"/>
      </w:pPr>
      <w:r>
        <w:t>2. Текущий и целевой процессы (AS IS / TO BE)</w:t>
      </w:r>
    </w:p>
    <w:p>
      <w:pPr>
        <w:pStyle w:val="Small"/>
      </w:pPr>
      <w:r>
        <w:t>Сопоставление отражает предполагаемую модель автоматизации. Фактические сценарии и состав данных уточняются при обследовании действующих систем.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  <w:cantSplit/>
        </w:trPr>
        <w:tc>
          <w:tcPr>
            <w:tcW w:type="dxa" w:w="4649"/>
            <w:shd w:fill="1B5384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FFFFFF"/>
                <w:sz w:val="16"/>
              </w:rPr>
              <w:t>AS IS. Действующий подход</w:t>
            </w:r>
          </w:p>
        </w:tc>
        <w:tc>
          <w:tcPr>
            <w:tcW w:type="dxa" w:w="4649"/>
            <w:shd w:fill="1B5384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FFFFFF"/>
                <w:sz w:val="16"/>
              </w:rPr>
              <w:t>TO BE. После внедрения</w:t>
            </w:r>
          </w:p>
        </w:tc>
      </w:tr>
      <w:tr>
        <w:trPr>
          <w:cantSplit/>
        </w:trPr>
        <w:tc>
          <w:tcPr>
            <w:tcW w:type="dxa" w:w="4819"/>
            <w:shd w:fill="F2F6F8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27333E"/>
                <w:sz w:val="16"/>
              </w:rPr>
              <w:t>IT-обращения обрабатываются в рамках действующих корпоративных процедур.</w:t>
            </w:r>
          </w:p>
        </w:tc>
        <w:tc>
          <w:tcPr>
            <w:tcW w:type="dxa" w:w="4819"/>
            <w:shd w:fill="F2F6F8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6"/>
              </w:rPr>
              <w:t>Сотрудники создают обращения через единую форму в Битрикс24.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27333E"/>
                <w:sz w:val="16"/>
              </w:rPr>
              <w:t>Для отдельных обращений требуется уточнить категорию, приоритет и исполнителя.</w:t>
            </w:r>
          </w:p>
        </w:tc>
        <w:tc>
          <w:tcPr>
            <w:tcW w:type="dxa" w:w="4819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6"/>
              </w:rPr>
              <w:t>Категории и ответственное лицо определяются по настраиваемым правилам.</w:t>
            </w:r>
          </w:p>
        </w:tc>
      </w:tr>
      <w:tr>
        <w:trPr>
          <w:cantSplit/>
        </w:trPr>
        <w:tc>
          <w:tcPr>
            <w:tcW w:type="dxa" w:w="4819"/>
            <w:shd w:fill="F2F6F8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27333E"/>
                <w:sz w:val="16"/>
              </w:rPr>
              <w:t>Сопровождение обращений предполагает контроль этапов и сроков.</w:t>
            </w:r>
          </w:p>
        </w:tc>
        <w:tc>
          <w:tcPr>
            <w:tcW w:type="dxa" w:w="4819"/>
            <w:shd w:fill="F2F6F8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6"/>
              </w:rPr>
              <w:t>Стадии, контрольные сроки, уведомления и эскалации ведутся автоматически.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27333E"/>
                <w:sz w:val="16"/>
              </w:rPr>
              <w:t>Подготовка сводной информации требует обработки сведений по обращениям.</w:t>
            </w:r>
          </w:p>
        </w:tc>
        <w:tc>
          <w:tcPr>
            <w:tcW w:type="dxa" w:w="4819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6"/>
              </w:rPr>
              <w:t>Показатели и история обращений доступны в отчётах Битрикс24.</w:t>
            </w:r>
          </w:p>
        </w:tc>
      </w:tr>
    </w:tbl>
    <w:p>
      <w:pPr>
        <w:spacing w:after="0" w:before="0" w:line="96" w:lineRule="auto"/>
      </w:pPr>
    </w:p>
    <w:p>
      <w:pPr>
        <w:pStyle w:val="Heading1"/>
      </w:pPr>
      <w:r>
        <w:t>3. Архитектура и технологическая логика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cantSplit/>
        </w:trPr>
        <w:tc>
          <w:tcPr>
            <w:tcW w:type="dxa" w:w="3213"/>
            <w:shd w:fill="EEF3F7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6"/>
              </w:rPr>
              <w:t>Сотрудник</w:t>
            </w:r>
            <w:r>
              <w:br/>
            </w:r>
            <w:r>
              <w:rPr>
                <w:rFonts w:ascii="Carlito" w:hAnsi="Carlito"/>
                <w:b w:val="0"/>
                <w:color w:val="27333E"/>
                <w:sz w:val="16"/>
              </w:rPr>
              <w:t>Форма заявки; описание; вложения; категория</w:t>
            </w:r>
          </w:p>
        </w:tc>
        <w:tc>
          <w:tcPr>
            <w:tcW w:type="dxa" w:w="3213"/>
            <w:shd w:fill="E6F0F7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6"/>
              </w:rPr>
              <w:t>→ Правила и бизнес-процессы →</w:t>
            </w:r>
            <w:r>
              <w:br/>
            </w:r>
            <w:r>
              <w:rPr>
                <w:rFonts w:ascii="Carlito" w:hAnsi="Carlito"/>
                <w:b w:val="0"/>
                <w:color w:val="27333E"/>
                <w:sz w:val="16"/>
              </w:rPr>
              <w:t>Классификация, назначение, статусы, сроки</w:t>
            </w:r>
          </w:p>
        </w:tc>
        <w:tc>
          <w:tcPr>
            <w:tcW w:type="dxa" w:w="3213"/>
            <w:shd w:fill="EEF3F7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6"/>
              </w:rPr>
              <w:t>Битрикс24</w:t>
            </w:r>
            <w:r>
              <w:br/>
            </w:r>
            <w:r>
              <w:rPr>
                <w:rFonts w:ascii="Carlito" w:hAnsi="Carlito"/>
                <w:b w:val="0"/>
                <w:color w:val="27333E"/>
                <w:sz w:val="16"/>
              </w:rPr>
              <w:t>Реестр заявок; уведомления; история; отчёты</w:t>
            </w:r>
          </w:p>
        </w:tc>
      </w:tr>
    </w:tbl>
    <w:p>
      <w:pPr>
        <w:spacing w:after="0"/>
      </w:pPr>
    </w:p>
    <w:p>
      <w:pPr>
        <w:pStyle w:val="Small"/>
      </w:pPr>
      <w:r>
        <w:t>Процессы создаются в действующем Битрикс24 с использованием штатных механизмов, например смарт-процессов, роботов и пользовательских полей. Дополнительный код допускается для не покрытых штатными средствами алгоритмов.</w:t>
      </w:r>
    </w:p>
    <w:p>
      <w:pPr>
        <w:pStyle w:val="Heading2"/>
      </w:pPr>
      <w:r>
        <w:t>3.1. Требования к интеграции / автоматизации</w:t>
      </w:r>
    </w:p>
    <w:p>
      <w:pPr/>
      <w:r>
        <w:t>•  Определить модель данных заявки: тип, категория, описание, заявитель, исполнитель, приоритет, статус, сроки, вложения и история; предусмотреть уникальный идентификатор.</w:t>
      </w:r>
    </w:p>
    <w:p>
      <w:pPr/>
      <w:r>
        <w:t>•  Спроектировать настраиваемые правила маршрутизации, приоритизации и эскалации с обработкой неизвестных категорий и отсутствующего исполнителя.</w:t>
      </w:r>
    </w:p>
    <w:p>
      <w:pPr/>
      <w:r>
        <w:t>•  Реализовать управляемые переходы статусов, обязательные проверки и защиту от повторного выполнения критичных действий при перезапуске автоматизации.</w:t>
      </w:r>
    </w:p>
    <w:p>
      <w:pPr/>
      <w:r>
        <w:t>•  Обеспечить фиксирование ключевых событий: создание, назначение, изменение статуса, уточнение, завершение и нарушение контрольного срока.</w:t>
      </w:r>
    </w:p>
    <w:p>
      <w:pPr/>
      <w:r>
        <w:t>•  Предусмотреть администрирование справочников категорий, матрицы ответственности и правил уведомления в пределах прав.</w:t>
      </w:r>
    </w:p>
    <w:p>
      <w:pPr>
        <w:pStyle w:val="Heading1"/>
      </w:pPr>
      <w:r>
        <w:t>4. Функциональные требования</w:t>
      </w:r>
    </w:p>
    <w:p>
      <w:pPr>
        <w:pStyle w:val="Heading2"/>
      </w:pPr>
      <w:r>
        <w:t>4.1. Реестр и динамическая форма подачи обращения</w:t>
      </w:r>
    </w:p>
    <w:p>
      <w:pPr/>
      <w:r>
        <w:t>Создать внутри Битрикс24 реестр заявок и формы с зависимыми полями, набор которых определяется категорией обращения.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  <w:cantSplit/>
        </w:trPr>
        <w:tc>
          <w:tcPr>
            <w:tcW w:type="dxa" w:w="2381"/>
            <w:shd w:fill="1B5384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FFFFFF"/>
                <w:sz w:val="16"/>
              </w:rPr>
              <w:t>Компонент</w:t>
            </w:r>
          </w:p>
        </w:tc>
        <w:tc>
          <w:tcPr>
            <w:tcW w:type="dxa" w:w="6917"/>
            <w:shd w:fill="1B5384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FFFFFF"/>
                <w:sz w:val="16"/>
              </w:rPr>
              <w:t>Требуемая функция</w:t>
            </w:r>
          </w:p>
        </w:tc>
      </w:tr>
      <w:tr>
        <w:trPr>
          <w:cantSplit/>
        </w:trPr>
        <w:tc>
          <w:tcPr>
            <w:tcW w:type="dxa" w:w="4819"/>
            <w:shd w:fill="F2F6F8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27333E"/>
                <w:sz w:val="16"/>
              </w:rPr>
              <w:t>Карточка заявки</w:t>
            </w:r>
          </w:p>
        </w:tc>
        <w:tc>
          <w:tcPr>
            <w:tcW w:type="dxa" w:w="4819"/>
            <w:shd w:fill="F2F6F8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6"/>
              </w:rPr>
              <w:t>Категория, описание, заявитель, исполнитель, приоритет, стадия, даты, связанные файлы и история.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27333E"/>
                <w:sz w:val="16"/>
              </w:rPr>
              <w:t>Форма подачи</w:t>
            </w:r>
          </w:p>
        </w:tc>
        <w:tc>
          <w:tcPr>
            <w:tcW w:type="dxa" w:w="4819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6"/>
              </w:rPr>
              <w:t>Обязательные и дополнительные поля по типу обращения; проверки заполнения и понятные подсказки.</w:t>
            </w:r>
          </w:p>
        </w:tc>
      </w:tr>
      <w:tr>
        <w:trPr>
          <w:cantSplit/>
        </w:trPr>
        <w:tc>
          <w:tcPr>
            <w:tcW w:type="dxa" w:w="4819"/>
            <w:shd w:fill="F2F6F8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27333E"/>
                <w:sz w:val="16"/>
              </w:rPr>
              <w:t>Категории</w:t>
            </w:r>
          </w:p>
        </w:tc>
        <w:tc>
          <w:tcPr>
            <w:tcW w:type="dxa" w:w="4819"/>
            <w:shd w:fill="F2F6F8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6"/>
              </w:rPr>
              <w:t>Техническая поддержка, программы, корпоративные сервисы, рабочее место, оборудование; список уточняется.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27333E"/>
                <w:sz w:val="16"/>
              </w:rPr>
              <w:t>Лента событий</w:t>
            </w:r>
          </w:p>
        </w:tc>
        <w:tc>
          <w:tcPr>
            <w:tcW w:type="dxa" w:w="4819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6"/>
              </w:rPr>
              <w:t>Фиксация комментариев, смены исполнителя, решений и даты завершения обращения.</w:t>
            </w:r>
          </w:p>
        </w:tc>
      </w:tr>
    </w:tbl>
    <w:p>
      <w:pPr>
        <w:spacing w:after="0" w:before="0" w:line="96" w:lineRule="auto"/>
      </w:pPr>
    </w:p>
    <w:p>
      <w:pPr>
        <w:pStyle w:val="Heading2"/>
      </w:pPr>
      <w:r>
        <w:t>4.2. Автоматические маршруты, статусы и контроль сроков</w:t>
      </w:r>
    </w:p>
    <w:p>
      <w:pPr/>
      <w:r>
        <w:t>Разработать правила обработки с возможностью последующей корректировки без изменения базовой архитектуры.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  <w:cantSplit/>
        </w:trPr>
        <w:tc>
          <w:tcPr>
            <w:tcW w:type="dxa" w:w="2381"/>
            <w:shd w:fill="1B5384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FFFFFF"/>
                <w:sz w:val="16"/>
              </w:rPr>
              <w:t>Механизм</w:t>
            </w:r>
          </w:p>
        </w:tc>
        <w:tc>
          <w:tcPr>
            <w:tcW w:type="dxa" w:w="6917"/>
            <w:shd w:fill="1B5384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FFFFFF"/>
                <w:sz w:val="16"/>
              </w:rPr>
              <w:t>Требуемый сценарий</w:t>
            </w:r>
          </w:p>
        </w:tc>
      </w:tr>
      <w:tr>
        <w:trPr>
          <w:cantSplit/>
        </w:trPr>
        <w:tc>
          <w:tcPr>
            <w:tcW w:type="dxa" w:w="4819"/>
            <w:shd w:fill="F2F6F8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27333E"/>
                <w:sz w:val="16"/>
              </w:rPr>
              <w:t>Классификация</w:t>
            </w:r>
          </w:p>
        </w:tc>
        <w:tc>
          <w:tcPr>
            <w:tcW w:type="dxa" w:w="4819"/>
            <w:shd w:fill="F2F6F8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6"/>
              </w:rPr>
              <w:t>Определение категории и приоритета по заполненным полям и согласованной матрице правил.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27333E"/>
                <w:sz w:val="16"/>
              </w:rPr>
              <w:t>Маршрутизация</w:t>
            </w:r>
          </w:p>
        </w:tc>
        <w:tc>
          <w:tcPr>
            <w:tcW w:type="dxa" w:w="4819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6"/>
              </w:rPr>
              <w:t>Назначение ответственного; альтернативный маршрут при отсутствии подходящего исполнителя.</w:t>
            </w:r>
          </w:p>
        </w:tc>
      </w:tr>
      <w:tr>
        <w:trPr>
          <w:cantSplit/>
        </w:trPr>
        <w:tc>
          <w:tcPr>
            <w:tcW w:type="dxa" w:w="4819"/>
            <w:shd w:fill="F2F6F8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27333E"/>
                <w:sz w:val="16"/>
              </w:rPr>
              <w:t>Жизненный цикл</w:t>
            </w:r>
          </w:p>
        </w:tc>
        <w:tc>
          <w:tcPr>
            <w:tcW w:type="dxa" w:w="4819"/>
            <w:shd w:fill="F2F6F8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6"/>
              </w:rPr>
              <w:t>Этапы: новая, в работе, ожидание уточнения, завершена и другие по согласованию.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27333E"/>
                <w:sz w:val="16"/>
              </w:rPr>
              <w:t>Контроль срока</w:t>
            </w:r>
          </w:p>
        </w:tc>
        <w:tc>
          <w:tcPr>
            <w:tcW w:type="dxa" w:w="4819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6"/>
              </w:rPr>
              <w:t>Расчёт контрольной даты, уведомление о приближении срока и эскалация просроченных заявок.</w:t>
            </w:r>
          </w:p>
        </w:tc>
      </w:tr>
      <w:tr>
        <w:trPr>
          <w:cantSplit/>
        </w:trPr>
        <w:tc>
          <w:tcPr>
            <w:tcW w:type="dxa" w:w="4819"/>
            <w:shd w:fill="F2F6F8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27333E"/>
                <w:sz w:val="16"/>
              </w:rPr>
              <w:t>Уведомления</w:t>
            </w:r>
          </w:p>
        </w:tc>
        <w:tc>
          <w:tcPr>
            <w:tcW w:type="dxa" w:w="4819"/>
            <w:shd w:fill="F2F6F8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6"/>
              </w:rPr>
              <w:t>Информирование заявителя и исполнителя о создании, переназначении, уточнении и завершении.</w:t>
            </w:r>
          </w:p>
        </w:tc>
      </w:tr>
    </w:tbl>
    <w:p>
      <w:pPr>
        <w:spacing w:after="0" w:before="0" w:line="96" w:lineRule="auto"/>
      </w:pPr>
    </w:p>
    <w:p>
      <w:pPr>
        <w:pStyle w:val="Heading2"/>
      </w:pPr>
      <w:r>
        <w:t>4.3. Отчётность и сопровождение</w:t>
      </w:r>
    </w:p>
    <w:p>
      <w:pPr/>
      <w:r>
        <w:t>•  Списки заявок по категории, ответственному, статусу, приоритету и интервалу дат.</w:t>
      </w:r>
    </w:p>
    <w:p>
      <w:pPr/>
      <w:r>
        <w:t>•  Показатели количества обращений, времени обработки, доли завершённых в срок и текущей нагрузки исполнителей.</w:t>
      </w:r>
    </w:p>
    <w:p>
      <w:pPr/>
      <w:r>
        <w:t>•  Журнал сбоев автоматизации и управляемый повтор безопасных действий без дублирования уведомлений или назначений.</w:t>
      </w:r>
    </w:p>
    <w:p>
      <w:pPr>
        <w:pStyle w:val="Heading1"/>
      </w:pPr>
      <w:r>
        <w:t>5. Доступ, информационная безопасность и эксплуатация</w:t>
      </w:r>
    </w:p>
    <w:p>
      <w:pPr/>
      <w:r>
        <w:t>•  Разделить права заявителей, исполнителей, руководителей и администраторов: сотрудник видит только разрешённые ему обращения.</w:t>
      </w:r>
    </w:p>
    <w:p>
      <w:pPr/>
      <w:r>
        <w:t>•  Предусмотреть отдельные правила доступа к заявкам, содержащим конфиденциальную информацию или вложения; не запрашивать пароли и секреты через формы.</w:t>
      </w:r>
    </w:p>
    <w:p>
      <w:pPr/>
      <w:r>
        <w:t>•  Журналировать значимые действия, изменения статуса и исполнителя; ограничить доступ к журналам и служебным настройкам.</w:t>
      </w:r>
    </w:p>
    <w:p>
      <w:pPr/>
      <w:r>
        <w:t>•  Использовать встроенные механизмы Битрикс24 и согласованные расширения; обеспечить устойчивую обработку ошибок и резервный ручной маршрут.</w:t>
      </w:r>
    </w:p>
    <w:p>
      <w:pPr/>
      <w:r>
        <w:t>•  Перед вводом в эксплуатацию согласовать категории, матрицу прав и правила хранения/удаления вложений с ответственными подразделениями и ИБ.</w:t>
      </w:r>
    </w:p>
    <w:p>
      <w:pPr>
        <w:pStyle w:val="Heading1"/>
      </w:pPr>
      <w:r>
        <w:t>6. Этапы выполнения и критерии приёмки</w:t>
      </w:r>
    </w:p>
    <w:p>
      <w:pPr>
        <w:pStyle w:val="Heading2"/>
      </w:pPr>
      <w:r>
        <w:t>6.1. Последовательность работ</w:t>
      </w:r>
    </w:p>
    <w:p>
      <w:pPr/>
      <w:r>
        <w:t>Обследование текущих обращений и ролей → согласование категорий и матрицы маршрутизации → проектирование карточки и стадий → настройка реестра и правил автоматизации → разработка необходимых расширений → проверка прав, отчётов и ошибочных сценариев → запуск и инструкции.</w:t>
      </w:r>
    </w:p>
    <w:p>
      <w:pPr>
        <w:pStyle w:val="Heading2"/>
      </w:pPr>
      <w:r>
        <w:t>6.2. Проверяемые сценарии приёмки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  <w:cantSplit/>
        </w:trPr>
        <w:tc>
          <w:tcPr>
            <w:tcW w:type="dxa" w:w="2381"/>
            <w:shd w:fill="1B5384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FFFFFF"/>
                <w:sz w:val="16"/>
              </w:rPr>
              <w:t>Проверка</w:t>
            </w:r>
          </w:p>
        </w:tc>
        <w:tc>
          <w:tcPr>
            <w:tcW w:type="dxa" w:w="6917"/>
            <w:shd w:fill="1B5384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FFFFFF"/>
                <w:sz w:val="16"/>
              </w:rPr>
              <w:t>Ожидаемый результат</w:t>
            </w:r>
          </w:p>
        </w:tc>
      </w:tr>
      <w:tr>
        <w:trPr>
          <w:cantSplit/>
        </w:trPr>
        <w:tc>
          <w:tcPr>
            <w:tcW w:type="dxa" w:w="4819"/>
            <w:shd w:fill="F2F6F8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27333E"/>
                <w:sz w:val="16"/>
              </w:rPr>
              <w:t>Создание заявки</w:t>
            </w:r>
          </w:p>
        </w:tc>
        <w:tc>
          <w:tcPr>
            <w:tcW w:type="dxa" w:w="4819"/>
            <w:shd w:fill="F2F6F8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6"/>
              </w:rPr>
              <w:t>Сотрудник заполняет форму; обязательные поля проверяются, заявка появляется в реестре с идентификатором.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27333E"/>
                <w:sz w:val="16"/>
              </w:rPr>
              <w:t>Динамическая форма</w:t>
            </w:r>
          </w:p>
        </w:tc>
        <w:tc>
          <w:tcPr>
            <w:tcW w:type="dxa" w:w="4819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6"/>
              </w:rPr>
              <w:t>При смене категории отображаются соответствующие поля и проверки.</w:t>
            </w:r>
          </w:p>
        </w:tc>
      </w:tr>
      <w:tr>
        <w:trPr>
          <w:cantSplit/>
        </w:trPr>
        <w:tc>
          <w:tcPr>
            <w:tcW w:type="dxa" w:w="4819"/>
            <w:shd w:fill="F2F6F8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27333E"/>
                <w:sz w:val="16"/>
              </w:rPr>
              <w:t>Назначение исполнителя</w:t>
            </w:r>
          </w:p>
        </w:tc>
        <w:tc>
          <w:tcPr>
            <w:tcW w:type="dxa" w:w="4819"/>
            <w:shd w:fill="F2F6F8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6"/>
              </w:rPr>
              <w:t>Заявка маршрутизируется по согласованному правилу; неизвестная категория попадает на резервный маршрут.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27333E"/>
                <w:sz w:val="16"/>
              </w:rPr>
              <w:t>Статусы и история</w:t>
            </w:r>
          </w:p>
        </w:tc>
        <w:tc>
          <w:tcPr>
            <w:tcW w:type="dxa" w:w="4819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6"/>
              </w:rPr>
              <w:t>Смена стадий и ответственных фиксируется в истории; недопустимые переходы блокируются.</w:t>
            </w:r>
          </w:p>
        </w:tc>
      </w:tr>
      <w:tr>
        <w:trPr>
          <w:cantSplit/>
        </w:trPr>
        <w:tc>
          <w:tcPr>
            <w:tcW w:type="dxa" w:w="4819"/>
            <w:shd w:fill="F2F6F8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27333E"/>
                <w:sz w:val="16"/>
              </w:rPr>
              <w:t>Контроль срока</w:t>
            </w:r>
          </w:p>
        </w:tc>
        <w:tc>
          <w:tcPr>
            <w:tcW w:type="dxa" w:w="4819"/>
            <w:shd w:fill="F2F6F8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6"/>
              </w:rPr>
              <w:t>При приближении установленного срока срабатывает уведомление; при нарушении — заданная эскалация.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27333E"/>
                <w:sz w:val="16"/>
              </w:rPr>
              <w:t>Права доступа</w:t>
            </w:r>
          </w:p>
        </w:tc>
        <w:tc>
          <w:tcPr>
            <w:tcW w:type="dxa" w:w="4819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6"/>
              </w:rPr>
              <w:t>Обычный сотрудник не может просматривать или изменять чужие закрытые заявки.</w:t>
            </w:r>
          </w:p>
        </w:tc>
      </w:tr>
      <w:tr>
        <w:trPr>
          <w:cantSplit/>
        </w:trPr>
        <w:tc>
          <w:tcPr>
            <w:tcW w:type="dxa" w:w="4819"/>
            <w:shd w:fill="F2F6F8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27333E"/>
                <w:sz w:val="16"/>
              </w:rPr>
              <w:t>Аналитика</w:t>
            </w:r>
          </w:p>
        </w:tc>
        <w:tc>
          <w:tcPr>
            <w:tcW w:type="dxa" w:w="4819"/>
            <w:shd w:fill="F2F6F8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6"/>
              </w:rPr>
              <w:t>Сводка по статусам, категориям и срокам строится на основе тестовых обращений.</w:t>
            </w:r>
          </w:p>
        </w:tc>
      </w:tr>
    </w:tbl>
    <w:p>
      <w:pPr>
        <w:spacing w:after="0" w:before="0" w:line="96" w:lineRule="auto"/>
      </w:pPr>
    </w:p>
    <w:p>
      <w:pPr>
        <w:pStyle w:val="Small"/>
      </w:pPr>
      <w:r>
        <w:t>Итоговый результат работы исполнителя: реестр заявок, динамические формы, настроенные правила маршрутизации и контроля сроков, уведомления, ролевые права, отчёты, перечень конфигураций и инструкцию администратора. Функционал должен быть протестирован внутри действующего Битрикс24.</w:t>
      </w:r>
    </w:p>
    <w:p>
      <w:pPr>
        <w:pStyle w:val="Heading1"/>
      </w:pPr>
      <w:r>
        <w:t>7. Ожидаемый эффект</w:t>
      </w:r>
    </w:p>
    <w:p>
      <w:pPr/>
      <w:r>
        <w:t>Упорядоченная обработка IT-обращений в единой системе, сокращение повторяющихся действий по классификации и назначению, прозрачность контрольных сроков, удобство анализа нагрузки технической поддержки. Эффект оценивается по скорости распределения обращений, времени обработки и доле выполнения в срок.</w:t>
      </w:r>
    </w:p>
    <w:p>
      <w:pPr>
        <w:pStyle w:val="Heading1"/>
      </w:pPr>
      <w:r>
        <w:t>8. Формат взаимодействия и уточняемые параметры</w:t>
      </w:r>
    </w:p>
    <w:p>
      <w:pPr/>
      <w:r>
        <w:t>Формат: проектирование, разработка, настройка, тестирование и внедрение под ключ. После обследования фиксируются роли пользователей, фактические категории обращений, матрица распределения, контрольные сроки, правила приоритизации, необходимость дополнительных компонентов и требования ИБ. Создание отдельного Service Desk-продукта и автоматизация вне согласованного состава IT-заявок не входят в базовый объём.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92" w:right="1077" w:bottom="879" w:left="1191" w:header="454" w:footer="44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rFonts w:ascii="Carlito" w:hAnsi="Carlito"/>
        <w:color w:val="5B6F81"/>
        <w:sz w:val="16"/>
      </w:rPr>
      <w:t xml:space="preserve">ТЗ  |  Битрикс24 + IT-заявки     •     Стр.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rlito" w:hAnsi="Carlito"/>
        <w:b/>
        <w:color w:val="66737F"/>
        <w:sz w:val="16"/>
      </w:rPr>
      <w:t>ТЕХНОЛОГИЧЕСКАЯ ЗАДАЧА  /  ASTANA HUB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6" w:line="260" w:lineRule="auto"/>
    </w:pPr>
    <w:rPr>
      <w:rFonts w:ascii="Carlito" w:hAnsi="Carlito" w:eastAsia="Carlito"/>
      <w:b w:val="0"/>
      <w:color w:val="27333E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Carlito" w:hAnsi="Carlito" w:eastAsia="Carlito"/>
      <w:b/>
      <w:bCs/>
      <w:color w:val="172D48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Carlito" w:hAnsi="Carlito" w:eastAsia="Carlito"/>
      <w:b/>
      <w:bCs/>
      <w:color w:val="1B5384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eta">
    <w:name w:val="Meta"/>
    <w:basedOn w:val="Normal"/>
    <w:pPr>
      <w:spacing w:after="80" w:line="254" w:lineRule="auto"/>
    </w:pPr>
    <w:rPr>
      <w:rFonts w:ascii="Carlito" w:hAnsi="Carlito"/>
      <w:b/>
      <w:color w:val="66737F"/>
      <w:sz w:val="16"/>
    </w:rPr>
  </w:style>
  <w:style w:type="paragraph" w:customStyle="1" w:styleId="Lead">
    <w:name w:val="Lead"/>
    <w:basedOn w:val="Normal"/>
    <w:pPr>
      <w:spacing w:after="80" w:line="254" w:lineRule="auto"/>
    </w:pPr>
    <w:rPr>
      <w:rFonts w:ascii="Carlito" w:hAnsi="Carlito"/>
      <w:b w:val="0"/>
      <w:color w:val="27333E"/>
      <w:sz w:val="20"/>
    </w:rPr>
  </w:style>
  <w:style w:type="paragraph" w:customStyle="1" w:styleId="Small">
    <w:name w:val="Small"/>
    <w:basedOn w:val="Normal"/>
    <w:pPr>
      <w:spacing w:after="80" w:line="254" w:lineRule="auto"/>
    </w:pPr>
    <w:rPr>
      <w:rFonts w:ascii="Carlito" w:hAnsi="Carlito"/>
      <w:b w:val="0"/>
      <w:color w:val="27333E"/>
      <w:sz w:val="18"/>
    </w:rPr>
  </w:style>
  <w:style w:type="paragraph" w:customStyle="1" w:styleId="Note">
    <w:name w:val="Note"/>
    <w:basedOn w:val="Normal"/>
    <w:pPr>
      <w:spacing w:after="80" w:line="254" w:lineRule="auto"/>
    </w:pPr>
    <w:rPr>
      <w:rFonts w:ascii="Carlito" w:hAnsi="Carlito"/>
      <w:b w:val="0"/>
      <w:color w:val="66737F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Разработка и внедрение системы автоматизированной обработки и маршрутизации внутренних IT-заявок в Битрикс24</dc:title>
  <dc:subject>Техническое задание для публикации технологической задачи Astana Hub</dc:subject>
  <dc:creator/>
  <cp:keywords>Битрикс24, 1С, технологическая задача, интеграция, учёт техники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