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139" w:type="dxa"/>
        <w:tblLook w:val="04A0" w:firstRow="1" w:lastRow="0" w:firstColumn="1" w:lastColumn="0" w:noHBand="0" w:noVBand="1"/>
      </w:tblPr>
      <w:tblGrid>
        <w:gridCol w:w="1985"/>
        <w:gridCol w:w="8499"/>
      </w:tblGrid>
      <w:tr w:rsidR="00A85FCA" w:rsidRPr="00643CB4" w14:paraId="79DF9EFC" w14:textId="77777777" w:rsidTr="00A85FCA">
        <w:tc>
          <w:tcPr>
            <w:tcW w:w="1985" w:type="dxa"/>
          </w:tcPr>
          <w:p w14:paraId="39965486" w14:textId="0DD98E9C" w:rsidR="00A85FCA" w:rsidRPr="00643CB4" w:rsidRDefault="00A85FCA" w:rsidP="00643CB4">
            <w:pPr>
              <w:jc w:val="center"/>
              <w:rPr>
                <w:rFonts w:ascii="Times New Roman" w:hAnsi="Times New Roman" w:cs="Times New Roman"/>
              </w:rPr>
            </w:pPr>
            <w:r w:rsidRPr="00643CB4">
              <w:rPr>
                <w:rFonts w:ascii="Times New Roman" w:hAnsi="Times New Roman" w:cs="Times New Roman"/>
                <w:b/>
                <w:bCs/>
              </w:rPr>
              <w:t>Наименование товара</w:t>
            </w:r>
          </w:p>
        </w:tc>
        <w:tc>
          <w:tcPr>
            <w:tcW w:w="8499" w:type="dxa"/>
          </w:tcPr>
          <w:p w14:paraId="3899A870" w14:textId="478C9CB0" w:rsidR="00A85FCA" w:rsidRPr="00643CB4" w:rsidRDefault="00A85FCA" w:rsidP="00A85FCA">
            <w:pPr>
              <w:jc w:val="center"/>
              <w:rPr>
                <w:rFonts w:ascii="Times New Roman" w:hAnsi="Times New Roman" w:cs="Times New Roman"/>
              </w:rPr>
            </w:pPr>
            <w:r w:rsidRPr="00643CB4">
              <w:rPr>
                <w:rFonts w:ascii="Times New Roman" w:hAnsi="Times New Roman" w:cs="Times New Roman"/>
                <w:b/>
                <w:bCs/>
              </w:rPr>
              <w:t>Значение характеристики</w:t>
            </w:r>
          </w:p>
        </w:tc>
      </w:tr>
      <w:tr w:rsidR="00A85FCA" w:rsidRPr="00643CB4" w14:paraId="5D294916" w14:textId="77777777" w:rsidTr="00A85FCA">
        <w:tc>
          <w:tcPr>
            <w:tcW w:w="1985" w:type="dxa"/>
          </w:tcPr>
          <w:p w14:paraId="144A2A2A" w14:textId="77777777" w:rsidR="00A85FCA" w:rsidRPr="00A85FCA" w:rsidRDefault="00A85FCA" w:rsidP="00A85FCA">
            <w:pPr>
              <w:jc w:val="center"/>
              <w:rPr>
                <w:rFonts w:ascii="Times New Roman" w:hAnsi="Times New Roman" w:cs="Times New Roman"/>
                <w:b/>
                <w:bCs/>
              </w:rPr>
            </w:pPr>
            <w:r w:rsidRPr="00A85FCA">
              <w:rPr>
                <w:rFonts w:ascii="Times New Roman" w:hAnsi="Times New Roman" w:cs="Times New Roman"/>
                <w:b/>
                <w:bCs/>
              </w:rPr>
              <w:t>Генетический анализатор</w:t>
            </w:r>
            <w:r w:rsidRPr="00A85FCA">
              <w:rPr>
                <w:rFonts w:ascii="Times New Roman" w:hAnsi="Times New Roman" w:cs="Times New Roman"/>
                <w:b/>
                <w:bCs/>
              </w:rPr>
              <w:t xml:space="preserve"> </w:t>
            </w:r>
            <w:r w:rsidRPr="00A85FCA">
              <w:rPr>
                <w:rFonts w:ascii="Times New Roman" w:hAnsi="Times New Roman" w:cs="Times New Roman"/>
                <w:b/>
                <w:bCs/>
              </w:rPr>
              <w:t>SeqStudio™ (A34274)</w:t>
            </w:r>
          </w:p>
          <w:p w14:paraId="12E322A2" w14:textId="7C403BA3" w:rsidR="00A85FCA" w:rsidRPr="00A85FCA" w:rsidRDefault="00A85FCA" w:rsidP="00A57557">
            <w:pPr>
              <w:rPr>
                <w:rFonts w:ascii="Times New Roman" w:hAnsi="Times New Roman" w:cs="Times New Roman"/>
                <w:lang w:val="ru-RU"/>
              </w:rPr>
            </w:pPr>
          </w:p>
        </w:tc>
        <w:tc>
          <w:tcPr>
            <w:tcW w:w="8499" w:type="dxa"/>
          </w:tcPr>
          <w:p w14:paraId="5731D9E6" w14:textId="01AF365E" w:rsidR="00A85FCA" w:rsidRPr="00A85FCA" w:rsidRDefault="00A85FCA" w:rsidP="00A85FCA">
            <w:pPr>
              <w:pStyle w:val="a4"/>
              <w:spacing w:before="0" w:beforeAutospacing="0" w:after="0" w:afterAutospacing="0"/>
              <w:jc w:val="both"/>
            </w:pPr>
            <w:r w:rsidRPr="00A85FCA">
              <w:t xml:space="preserve">Генетический анализатор SeqStudio от Thermo Fisher Scientific (далее - Анализатор) не менее, чем 4-х капиллярный должен быть предназначен для секвенирования по Сэнгеру и для фрагментного анализа; Анализатор должен поддерживать секвенирование ДНК de novo, автоматическую детекцию гетерозигот, проведение исследований медицинского характера, анализ мутаций, идентификацию аллелей, анализ мультиплексированных однонуклеотидных полиморфизмов, анализ метода коротких тандемных повторов, анализ микросателлитной нестабильности, анализ метода полиморфизма амплифицированных фрагментов используемых для одновременной визуализации сотен амплифицированных рестрикционных фрагментов ДНК, идентификация микроорганизмов, анализ регуляции генов, анализ тандемных повторов, изучение РНК, HLA-типирование, генотипирование образцов, анализ сайтов метилирования, анализ биомаркеров, генных мишеней, исследования в области функциональной геномики; Анализатор должен позволять проводить секвенирования по Сэнгеру и фрагментный анализ в одном планшете; Анализатор на борту должен иметь сменный картридж с нанесенной радиочастотной меткой (RFID); В картридже должна быть встроена капиллярная сборка, система доставки полимера, полимер и анодный буфер; Картридж должен быть рассчитан на не менее, чем 250 инъекций и на не менее, чем 1000 реакций; Картридж должен быть стабилен на борту анализатора не менее чем 6 месяцев; Количество капилляров в капиллярной сборке должно быть не менее 4; Длина капилляров в капиллярной сборке должна быть не менее чем 26 см и не более чем 28 см; Полимер в капиллярной сборке должен представлять собой полимер для конформационного анализа, предназначенный для анализа полинуклеотидных фрагментов на генетических анализаторах без денатураци, серии POP-1; Анализатор должен иметь возможность использования для работы универсального высокоскоростного полимера для секвенирования и фрагментного анализа; Анализатор должен иметь габаритные размеры: длина не более, чем 64,9 см., ширина не более, чем 49.6 см., высота не более 44,3 см.; Анализатор должна иметь вес не более 53.7 кг.; Анализатор должен позволять проводить многоцветное детектирование до не менее, чем 6-ти флуоресцентных красителей одновременно; Анализатор должен иметь возможность автоматической работы в течение 24 часов без оператора; Анализатор должен иметь сенсорный экран для управления и запуска прогонов; Анализатор должен иметь вертикальное открытие двери; Анализатор должен иметь функцию автоматического промывания капилляров; Анализатор должен иметь функцию автоматического заполнение капилляров полимером; Анализатор должен иметь автоматический ввод анализируемых образцов из 96-луночной планшеты; Анализатор должен позволять использовать стрипы из пробирок по не менее 8 штук в стрипе; Анализатор должен иметь охладитель для поддержания качества полимера; Анализатор должен иметь долговечный однострочный твердотельный монолучевой лазер  длиной волны не менее 505 нм и не более 510 нм не требующего специального охлаждения; Анализатор должен иметь встроенную систему считывания баркодов плашек; Анализатор должен иметь встроенный Wi-Fi модуль не менее 1 шт. и разъем RJ-45 не менее 1 шт., оперативную память не менее 8ГБ, Анализатор должен иметь возможность подключения к бесплатному облачному хранилищу для анализа данных от завода-изготовителя; Анализатор должен иметь возможность подключенная к экосистеме с удаленным мониторингом для получения данных в режиме реального времени; Анализатор на передней панели должен иметь Индикатор на передней панели для </w:t>
            </w:r>
            <w:r w:rsidRPr="00A85FCA">
              <w:lastRenderedPageBreak/>
              <w:t xml:space="preserve">отображаения состояние прибора, сенсорный экран для управления пользователем, Дверца для обеспечения доступ к картриджу, катодному буферу и планшете или пробиркам с образцами, порт USB не менее 1 шт.; Производительность должна быть высокой и обеспечивать сверхбыстрый анализ: при секвенировании скорость прочтения в одном капилляре должна составлять не менее 350 пар нуклеотидов не более, чем за 30 мин, при фрагментном анализе - не менее 460 п.н. за не более чем 45 мин. в 1 капилляре. Анализатор должен быть укомплектован соответствующим программным обеспечением, включающим программу для детекции минорных аллелей (нижний порог детекции не менее 5%), программу для генерации отчетов (графики по оценке контроля качества запуска и список проанализированных образцов) в конце каждого запуска, программу для анализа данных по секвенированию и фрагментному анализу (детекция мутаций, SNP, контроль качества секвенирования и ресеквенирования) с возможностью ведения баз данных, а также стартовым набором реагентов и расходных материалов, набором реагентов и расходных материалов, предусмотренные для проведения MLPA-анализа: Набор для выделения геномной ДНК из цельной крови – не менее 1 шт; Набор реагентов для MLPA-анализа SALSA® MLPA® Probemix, 25 реакций – не менее 2 шт; Набор реагентов SALSA MLPA меченные FAM EK1-FAM 100 реакций – не менее 1 шт; Картридж v2 для генетического анализатора SeqStudio™, 250 инъекций/1000 реак. – не менее 1 шт; Планшета 96-луночная MicroAmp™, оптическая, 10 шт/упак. – не менее 1 шт; Наконечники для пипеток в штативах с фильтром ART™, 10 мкл, 4800 шт/уп – не менее 1 шт; Наконечники для пипеток в штативах с фильтром ART ™, 20 мкл, 4800 шт/упак. – не менее 1 шт; Наконечники для пипеток в штативах с откидной крышкой ART™, 200 мкл, 4800 шт/упак.  – не менее 1 шт; Планшет Armadillo™ PCR Strip, 96 лунок, прозрачный, 25 планшетов  - не менее 1 шт; Ультра прозрачные крышки для кПЦР, стрипы по 8 шт., 120 стрипов/упак. – не менее 1 шт; и секвенирования ДНК: Набор праймеров для секвенирования 25 нмоль Custom DNA Oligos Kit- не менее 4 шт; Мастер-микс для мультиплексной ПЦР Phusion U, 100 реак.- не менее 1 шт; Набор для секвенирования BigDye ™ Terminator v3.1, 24 реак. – не менее 1 шт; Реагент для очистки продуктов ПЦР ExoSAP-IT ™, 1 мл, 500 реак.- не менее 1 шт; Набор для очистки реакций секвенирования BigDye XTerminator ™, 100 реак. – не менее 1 шт; Буфер TBE (трис-борат-ЭДТА) (10X), 1 л.- не менее 1 шт; Агарозные таблетки TopVision, 200 таблеток (0,5г каждая)- не менее 1 шт; ДНК-маркер FastRuler, готовый к применению, диапазон 100–5000 п.н., 1000 мкл- не менее 1 шт; Наконечники ART, 1000 мкл, с фильтрами, в коробках по 96 штук, 3072 штук- не менее 1 шт; Система электрофореза в реальном времени VWR®- не менее 1 шт, в объёме, достаточном для запуска оборудования и выполнения заявленных видов исследований вместе с генетическим анализатором (секвенатором); Анализатор должен соответствовать электрическим казахстанским нормам по электропитанию (220-240 В, 50 Гц); В технической спецификации должны быть указаны производитель и модель (марка) предлагаемого оборудования; Предлагаемое оборудование должно быть новым, ранее не использованным, год выпуска не ранее 2025 г.; Потенциальный поставщик должен иметь оригинал авторизированного письма или доверенности от производителя поставляемого оборудования или его полномочного представителя о том, что поставщик имеет право осуществлять гарантийное и послегарантийное сервисное обслуживание и ремонт оборудования, предлагаемого к поставке и имеет кадры и  достаточную материально-техническую базу для технического обслуживания на территории Республики Казахстан; Поставщик обязуется обеспечить монтаж и ввод в эксплуатацию </w:t>
            </w:r>
            <w:r w:rsidRPr="00A85FCA">
              <w:lastRenderedPageBreak/>
              <w:t>оборудования и гарантийное обслуживание в течение 12 месяцев с даты ввода в эксплуатацию; Поставщик должен гарантировать заключение контракта на сервисное техническое обслуживание поставляемого оборудования в постгарантийный период; установку, настройку и запуск в эксплуатацию оборудования исследований должен осуществлять поставщик, а также обязан, в течение полугода, после запуска в эксплуатацию оборудования осуществлять методическое сопровождение и помощь в производстве исследований при помощи специалистов с соответствующей квалификацией; Поставщик предоставляет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а также отказное письмо уполномоченного органа, подтверждающее, что поставляемая продукция предназначена для исследовательских целей.</w:t>
            </w:r>
            <w:r>
              <w:rPr>
                <w:lang w:val="ru-RU"/>
              </w:rPr>
              <w:t xml:space="preserve"> </w:t>
            </w:r>
            <w:r w:rsidRPr="00A85FCA">
              <w:t>Условия оплаты: размер авансового платежа определяется решением Закупочной комиссии в соответствии с внутренним Регламентом, регулирующим порядок закупок в рамках научных проектов. Закупочная комиссия вправе запросить у потенциального поставщика обеспечение авансового платежа в эквивалентной сумме.</w:t>
            </w:r>
            <w:r>
              <w:rPr>
                <w:lang w:val="ru-RU"/>
              </w:rPr>
              <w:t xml:space="preserve"> </w:t>
            </w:r>
            <w:r w:rsidRPr="00A85FCA">
              <w:t>Обеспечение аванса может быть предоставлено одним из следующих способов:</w:t>
            </w:r>
          </w:p>
          <w:p w14:paraId="2E812C77" w14:textId="77777777" w:rsidR="00A85FCA" w:rsidRPr="00A85FCA" w:rsidRDefault="00A85FCA" w:rsidP="00A85FCA">
            <w:pPr>
              <w:pStyle w:val="a4"/>
              <w:spacing w:before="0" w:beforeAutospacing="0" w:after="0" w:afterAutospacing="0"/>
              <w:jc w:val="both"/>
            </w:pPr>
            <w:r w:rsidRPr="00A85FCA">
              <w:t>безотзывная банковская гарантия, выданная банком второго уровня, зарегистрированным на территории Республики Казахстан и имеющим действующую лицензию на осуществление банковской деятельности;</w:t>
            </w:r>
          </w:p>
          <w:p w14:paraId="2C9397E4" w14:textId="77777777" w:rsidR="00A85FCA" w:rsidRPr="00A85FCA" w:rsidRDefault="00A85FCA" w:rsidP="00A85FCA">
            <w:pPr>
              <w:pStyle w:val="a4"/>
              <w:spacing w:before="0" w:beforeAutospacing="0" w:after="0" w:afterAutospacing="0"/>
              <w:jc w:val="both"/>
            </w:pPr>
            <w:r w:rsidRPr="00A85FCA">
              <w:t>договор страхования гражданской ответственности поставщика, оформленный в страховой компании, осуществляющей деятельность на территории Республики Казахстан и имеющей соответствующую лицензию.</w:t>
            </w:r>
          </w:p>
          <w:p w14:paraId="5A21C902" w14:textId="24635A9C" w:rsidR="00A85FCA" w:rsidRPr="00643CB4" w:rsidRDefault="00A85FCA" w:rsidP="00A85FCA">
            <w:pPr>
              <w:pStyle w:val="a4"/>
              <w:spacing w:before="0" w:beforeAutospacing="0" w:after="0" w:afterAutospacing="0"/>
              <w:jc w:val="both"/>
            </w:pPr>
            <w:r w:rsidRPr="00A85FCA">
              <w:t>Сроки поставки: доставка оборудования должна быть осуществлена в течение не более 60 (шестьдесят) календарных дней с даты заключения договора.</w:t>
            </w:r>
          </w:p>
        </w:tc>
      </w:tr>
    </w:tbl>
    <w:p w14:paraId="2E2A0505" w14:textId="4A0DE4D6" w:rsidR="00643CB4" w:rsidRDefault="00643CB4" w:rsidP="00A85FCA">
      <w:pPr>
        <w:pStyle w:val="a4"/>
        <w:spacing w:before="0" w:beforeAutospacing="0" w:after="0" w:afterAutospacing="0"/>
        <w:jc w:val="both"/>
      </w:pPr>
    </w:p>
    <w:sectPr w:rsidR="00643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80006"/>
    <w:multiLevelType w:val="multilevel"/>
    <w:tmpl w:val="4D6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10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57"/>
    <w:rsid w:val="00643CB4"/>
    <w:rsid w:val="007A2C5A"/>
    <w:rsid w:val="00A57557"/>
    <w:rsid w:val="00A600CC"/>
    <w:rsid w:val="00A85FCA"/>
    <w:rsid w:val="00BE134F"/>
    <w:rsid w:val="00C03BC1"/>
    <w:rsid w:val="00FF256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A50F"/>
  <w15:chartTrackingRefBased/>
  <w15:docId w15:val="{6452FFBF-98B7-4153-996C-7CD9F1BA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43CB4"/>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5">
    <w:name w:val="Strong"/>
    <w:basedOn w:val="a0"/>
    <w:uiPriority w:val="22"/>
    <w:qFormat/>
    <w:rsid w:val="00643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2025-12-11T10:17:00Z</dcterms:created>
  <dcterms:modified xsi:type="dcterms:W3CDTF">2025-12-18T07:14:00Z</dcterms:modified>
</cp:coreProperties>
</file>