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FF0E7" w14:textId="302614C3" w:rsidR="00003917" w:rsidRPr="00044B9C" w:rsidRDefault="00044B9C" w:rsidP="00A7795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ПРОЕКТ </w:t>
      </w:r>
      <w:r w:rsidR="00000000" w:rsidRPr="00044B9C">
        <w:rPr>
          <w:rFonts w:ascii="Times New Roman" w:hAnsi="Times New Roman" w:cs="Times New Roman"/>
          <w:b/>
          <w:sz w:val="24"/>
          <w:szCs w:val="24"/>
          <w:lang w:val="ru-RU"/>
        </w:rPr>
        <w:t>ТЕХНИЧЕСКО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ГО</w:t>
      </w:r>
      <w:r w:rsidR="00000000" w:rsidRPr="00044B9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ЗАДАНИ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Я</w:t>
      </w:r>
    </w:p>
    <w:p w14:paraId="66C9836A" w14:textId="3D1C1B77" w:rsidR="00003917" w:rsidRPr="00044B9C" w:rsidRDefault="00000000" w:rsidP="00A7795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b/>
          <w:sz w:val="24"/>
          <w:szCs w:val="24"/>
          <w:lang w:val="ru-RU"/>
        </w:rPr>
        <w:t>на создание Единого цифрового сервиса</w:t>
      </w:r>
      <w:r w:rsidR="00044B9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внутренних процессов</w:t>
      </w:r>
      <w:r w:rsidRPr="00044B9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b/>
          <w:sz w:val="24"/>
          <w:szCs w:val="24"/>
        </w:rPr>
        <w:t>QEC</w:t>
      </w:r>
    </w:p>
    <w:p w14:paraId="735AE138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1. Общие положения</w:t>
      </w:r>
    </w:p>
    <w:p w14:paraId="007F200D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Настоящее техническое задание определяет основные функциональные, интеграционные и технические требования к созданию Единого цифрового сервиса АО «НК «</w:t>
      </w:r>
      <w:proofErr w:type="spellStart"/>
      <w:r w:rsidRPr="00044B9C">
        <w:rPr>
          <w:rFonts w:ascii="Times New Roman" w:hAnsi="Times New Roman" w:cs="Times New Roman"/>
          <w:sz w:val="24"/>
          <w:szCs w:val="24"/>
        </w:rPr>
        <w:t>QazExpoCongress</w:t>
      </w:r>
      <w:proofErr w:type="spellEnd"/>
      <w:r w:rsidRPr="00044B9C">
        <w:rPr>
          <w:rFonts w:ascii="Times New Roman" w:hAnsi="Times New Roman" w:cs="Times New Roman"/>
          <w:sz w:val="24"/>
          <w:szCs w:val="24"/>
          <w:lang w:val="ru-RU"/>
        </w:rPr>
        <w:t>» (далее – Общество), предназначенного для автоматизации взаимосвязанных процессов бюджетирования, управления рисками и стратегического управления.</w:t>
      </w:r>
    </w:p>
    <w:p w14:paraId="0D9274AD" w14:textId="5B1DF758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Документ предназначен для подготовки исполнителем технического решения, определения подхода к реализации, оценки трудоемкости, сроков и стоимости проекта. Исполнитель вправе предложить обоснованную архитектуру и этапность при условии сохранения описанной бизнес-логики и возможности дальнейшего развития решения.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Цифровой сервис должен представлять собой единую модульную информационную систему. Модули должны использовать общие механизмы авторизации, организационную структуру, справочники, уведомления, журналирование и аналитическое представление данных, при этом сохранять самостоятельную бизнес-логику, маршруты согласования и разграничение прав доступа.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Архитектура должна обеспечивать поэтапное внедрение: каждый функциональный модуль может вводиться в эксплуатацию отдельно, а взаимодействие между модулями подключаться по мере готовности соответствующих процессов и данных.</w:t>
      </w:r>
    </w:p>
    <w:p w14:paraId="4692BF01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</w:rPr>
        <w:t>2. Цели создания цифрового сервиса</w:t>
      </w:r>
    </w:p>
    <w:p w14:paraId="06B65F03" w14:textId="77777777" w:rsidR="00003917" w:rsidRPr="00044B9C" w:rsidRDefault="00000000" w:rsidP="00A77950">
      <w:pPr>
        <w:pStyle w:val="a0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создание единой цифровой среды для бюджетирования, управления рисками и стратегического управления;</w:t>
      </w:r>
    </w:p>
    <w:p w14:paraId="1D679ACF" w14:textId="77777777" w:rsidR="00003917" w:rsidRPr="00044B9C" w:rsidRDefault="00000000" w:rsidP="00A77950">
      <w:pPr>
        <w:pStyle w:val="a0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формирование единого источника актуальных и контролируемых данных по трем направлениям;</w:t>
      </w:r>
    </w:p>
    <w:p w14:paraId="2AAAAAD4" w14:textId="77777777" w:rsidR="00003917" w:rsidRPr="00044B9C" w:rsidRDefault="00000000" w:rsidP="00A77950">
      <w:pPr>
        <w:pStyle w:val="a0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 xml:space="preserve">сокращение ручного обмена файлами, повторного ввода информации и консолидации данных в </w:t>
      </w:r>
      <w:r w:rsidRPr="00044B9C">
        <w:rPr>
          <w:rFonts w:ascii="Times New Roman" w:hAnsi="Times New Roman" w:cs="Times New Roman"/>
          <w:sz w:val="24"/>
          <w:szCs w:val="24"/>
        </w:rPr>
        <w:t>Excel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70684042" w14:textId="77777777" w:rsidR="00003917" w:rsidRPr="00044B9C" w:rsidRDefault="00000000" w:rsidP="00A77950">
      <w:pPr>
        <w:pStyle w:val="a0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автоматизация маршрутов согласования, контроля сроков, статусов, уведомлений и отчетности;</w:t>
      </w:r>
    </w:p>
    <w:p w14:paraId="6A761B7C" w14:textId="77777777" w:rsidR="00003917" w:rsidRPr="00044B9C" w:rsidRDefault="00000000" w:rsidP="00A77950">
      <w:pPr>
        <w:pStyle w:val="a0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обеспечение прослеживаемой связи между стратегическими целями, ресурсным обеспечением и рисками;</w:t>
      </w:r>
    </w:p>
    <w:p w14:paraId="50095975" w14:textId="77777777" w:rsidR="00003917" w:rsidRPr="00044B9C" w:rsidRDefault="00000000" w:rsidP="00A77950">
      <w:pPr>
        <w:pStyle w:val="a0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формирование единого управленческого представления для руководства при сохранении профильной ответственности каждого подразделения.</w:t>
      </w:r>
    </w:p>
    <w:p w14:paraId="11B9CF8C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3. Функциональная архитектура</w:t>
      </w:r>
    </w:p>
    <w:p w14:paraId="205BF2DF" w14:textId="5D22D688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 xml:space="preserve">В составе Единого цифрового сервиса предусматриваются 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несколько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основных функциональных модуля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с возможность расширения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003917" w:rsidRPr="00044B9C" w14:paraId="05A721BC" w14:textId="77777777">
        <w:trPr>
          <w:jc w:val="center"/>
        </w:trPr>
        <w:tc>
          <w:tcPr>
            <w:tcW w:w="4986" w:type="dxa"/>
            <w:vAlign w:val="center"/>
          </w:tcPr>
          <w:p w14:paraId="028113A8" w14:textId="77777777" w:rsidR="00003917" w:rsidRPr="00044B9C" w:rsidRDefault="00000000" w:rsidP="00A7795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B9C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Функциональный</w:t>
            </w:r>
            <w:proofErr w:type="spellEnd"/>
            <w:r w:rsidRPr="00044B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44B9C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proofErr w:type="spellEnd"/>
          </w:p>
        </w:tc>
        <w:tc>
          <w:tcPr>
            <w:tcW w:w="4986" w:type="dxa"/>
            <w:vAlign w:val="center"/>
          </w:tcPr>
          <w:p w14:paraId="2CDBC1D0" w14:textId="77777777" w:rsidR="00003917" w:rsidRPr="00044B9C" w:rsidRDefault="00000000" w:rsidP="00A7795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B9C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назначение</w:t>
            </w:r>
          </w:p>
        </w:tc>
      </w:tr>
      <w:tr w:rsidR="00003917" w:rsidRPr="00044B9C" w14:paraId="54F88A4B" w14:textId="77777777">
        <w:trPr>
          <w:jc w:val="center"/>
        </w:trPr>
        <w:tc>
          <w:tcPr>
            <w:tcW w:w="4986" w:type="dxa"/>
          </w:tcPr>
          <w:p w14:paraId="77C5D341" w14:textId="77777777" w:rsidR="00003917" w:rsidRPr="00044B9C" w:rsidRDefault="00000000" w:rsidP="00A7795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B9C">
              <w:rPr>
                <w:rFonts w:ascii="Times New Roman" w:hAnsi="Times New Roman" w:cs="Times New Roman"/>
                <w:sz w:val="24"/>
                <w:szCs w:val="24"/>
              </w:rPr>
              <w:t>Бюджетирование</w:t>
            </w:r>
          </w:p>
        </w:tc>
        <w:tc>
          <w:tcPr>
            <w:tcW w:w="4986" w:type="dxa"/>
          </w:tcPr>
          <w:p w14:paraId="7B465A06" w14:textId="77777777" w:rsidR="00003917" w:rsidRPr="00044B9C" w:rsidRDefault="00000000" w:rsidP="00A7795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B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и согласование бюджетных заявок, рассмотрение </w:t>
            </w:r>
            <w:proofErr w:type="spellStart"/>
            <w:r w:rsidRPr="00044B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ДЭиБУ</w:t>
            </w:r>
            <w:proofErr w:type="spellEnd"/>
            <w:r w:rsidRPr="00044B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консолидация, подготовка материалов для Бюджетной комиссии и последующее развитие план-факт контроля.</w:t>
            </w:r>
          </w:p>
        </w:tc>
      </w:tr>
      <w:tr w:rsidR="00003917" w:rsidRPr="00044B9C" w14:paraId="69164948" w14:textId="77777777">
        <w:trPr>
          <w:jc w:val="center"/>
        </w:trPr>
        <w:tc>
          <w:tcPr>
            <w:tcW w:w="4986" w:type="dxa"/>
          </w:tcPr>
          <w:p w14:paraId="5DDE51A9" w14:textId="77777777" w:rsidR="00003917" w:rsidRPr="00044B9C" w:rsidRDefault="00000000" w:rsidP="00A7795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B9C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proofErr w:type="spellEnd"/>
            <w:r w:rsidRPr="00044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4B9C">
              <w:rPr>
                <w:rFonts w:ascii="Times New Roman" w:hAnsi="Times New Roman" w:cs="Times New Roman"/>
                <w:sz w:val="24"/>
                <w:szCs w:val="24"/>
              </w:rPr>
              <w:t>рисками</w:t>
            </w:r>
            <w:proofErr w:type="spellEnd"/>
          </w:p>
        </w:tc>
        <w:tc>
          <w:tcPr>
            <w:tcW w:w="4986" w:type="dxa"/>
          </w:tcPr>
          <w:p w14:paraId="34EFA83F" w14:textId="77777777" w:rsidR="00003917" w:rsidRPr="00044B9C" w:rsidRDefault="00000000" w:rsidP="00A7795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B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Ведение реестра рисков и мероприятий, оценка, мониторинг, контроль сроков, </w:t>
            </w:r>
            <w:r w:rsidRPr="00044B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КРП/</w:t>
            </w:r>
            <w:r w:rsidRPr="00044B9C">
              <w:rPr>
                <w:rFonts w:ascii="Times New Roman" w:hAnsi="Times New Roman" w:cs="Times New Roman"/>
                <w:sz w:val="24"/>
                <w:szCs w:val="24"/>
              </w:rPr>
              <w:t>KRI</w:t>
            </w:r>
            <w:r w:rsidRPr="00044B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переоценка, отчетность и аналитика.</w:t>
            </w:r>
          </w:p>
        </w:tc>
      </w:tr>
      <w:tr w:rsidR="00003917" w:rsidRPr="00044B9C" w14:paraId="1BFCAFB0" w14:textId="77777777">
        <w:trPr>
          <w:jc w:val="center"/>
        </w:trPr>
        <w:tc>
          <w:tcPr>
            <w:tcW w:w="4986" w:type="dxa"/>
          </w:tcPr>
          <w:p w14:paraId="17064B8A" w14:textId="77777777" w:rsidR="00003917" w:rsidRPr="00044B9C" w:rsidRDefault="00000000" w:rsidP="00A7795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B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Стратегическое</w:t>
            </w:r>
            <w:proofErr w:type="spellEnd"/>
            <w:r w:rsidRPr="00044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4B9C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proofErr w:type="spellEnd"/>
          </w:p>
        </w:tc>
        <w:tc>
          <w:tcPr>
            <w:tcW w:w="4986" w:type="dxa"/>
          </w:tcPr>
          <w:p w14:paraId="678CB4B0" w14:textId="77777777" w:rsidR="00003917" w:rsidRPr="00044B9C" w:rsidRDefault="00000000" w:rsidP="00A7795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B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Ведение стратегических направлений, целей, показателей/КПД и мероприятий, план-факт мониторинг, контроль исполнения и стратегическая отчетность.</w:t>
            </w:r>
          </w:p>
        </w:tc>
      </w:tr>
    </w:tbl>
    <w:p w14:paraId="47ECAE0E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Общие платформенные компоненты – пользователи и роли, организационная структура, справочники, отчетные периоды, уведомления, журнал действий, файловое хранилище, поиск, администрирование и интеграционный слой – должны по возможности использоваться совместно.</w:t>
      </w:r>
    </w:p>
    <w:p w14:paraId="5DDE34FD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4. Пользователи и разграничение доступа</w:t>
      </w:r>
    </w:p>
    <w:p w14:paraId="25D2A0E0" w14:textId="27B39FAA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Система должна поддерживать ролевую модель доступа с учетом функционального модуля, структурного подразделения, полномочий пользователя, этапа процесса и статуса записи. Один пользователь может иметь разные роли в разных модулях.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В общем контуре предусматриваются администратор системы, сотрудники и руководители структурных подразделений, профильные подразделения по бюджетированию, рискам и стратегии, ответственные исполнители, согласующие лица, руководство Общества и пользователи с правами наблюдения/аудита. Конкретные роли и матрица доступа уточняются на этапе обследования.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Руководству должен предоставляться преимущественно аналитический доступ к консолидированной информации без необходимости участия в операционном вводе данных, если иное не предусмотрено маршрутом согласования.</w:t>
      </w:r>
    </w:p>
    <w:p w14:paraId="1C728599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5. Модуль «Бюджетирование»</w:t>
      </w:r>
    </w:p>
    <w:p w14:paraId="707BF859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5.1. Назначение</w:t>
      </w:r>
    </w:p>
    <w:p w14:paraId="5EF37042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Модуль предназначен для автоматизации процесса формирования, согласования, рассмотрения и консолидации бюджетных заявок структурных подразделений. На первом этапе основной контур охватывает путь от подготовки бюджетной заявки до формирования консолидированных материалов для рассмотрения Бюджетной комиссией.</w:t>
      </w:r>
    </w:p>
    <w:p w14:paraId="3C266C9E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5.2. Бюджетная заявка</w:t>
      </w:r>
    </w:p>
    <w:p w14:paraId="0E9C74B9" w14:textId="0FFB1235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 xml:space="preserve">Пользователь структурного подразделения должен иметь возможность создать бюджетную заявку за выбранный период, загрузить данные из установленного </w:t>
      </w:r>
      <w:r w:rsidRPr="00044B9C">
        <w:rPr>
          <w:rFonts w:ascii="Times New Roman" w:hAnsi="Times New Roman" w:cs="Times New Roman"/>
          <w:sz w:val="24"/>
          <w:szCs w:val="24"/>
        </w:rPr>
        <w:t>Excel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-шаблона либо заполнить предусмотренные поля в системе, а также приложить служебные записки, коммерческие предложения, пояснения и иные подтверждающие материалы.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Система должна выполнять базовую проверку обязательных полей и структуры загружаемых данных, фиксировать автора, дату создания, подразделение, период и текущий статус заявки.</w:t>
      </w:r>
    </w:p>
    <w:p w14:paraId="2336A571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5.3. Маршрут обработки</w:t>
      </w:r>
    </w:p>
    <w:p w14:paraId="743EECFD" w14:textId="5AAA73BD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 xml:space="preserve">Базовый маршрут: сотрудник структурного подразделения → руководитель структурного подразделения → </w:t>
      </w:r>
      <w:proofErr w:type="spellStart"/>
      <w:r w:rsidRPr="00044B9C">
        <w:rPr>
          <w:rFonts w:ascii="Times New Roman" w:hAnsi="Times New Roman" w:cs="Times New Roman"/>
          <w:sz w:val="24"/>
          <w:szCs w:val="24"/>
          <w:lang w:val="ru-RU"/>
        </w:rPr>
        <w:t>ДЭиБУ</w:t>
      </w:r>
      <w:proofErr w:type="spellEnd"/>
      <w:r w:rsidRPr="00044B9C">
        <w:rPr>
          <w:rFonts w:ascii="Times New Roman" w:hAnsi="Times New Roman" w:cs="Times New Roman"/>
          <w:sz w:val="24"/>
          <w:szCs w:val="24"/>
          <w:lang w:val="ru-RU"/>
        </w:rPr>
        <w:t xml:space="preserve"> → консолидация → подготовка пакета для Бюджетной комиссии. Должна поддерживаться возможность возврата на доработку с обязательным комментарием, повторного направления и фиксации истории согласования.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Маршруты и статусы должны быть настраиваемыми без существенной доработки программного кода.</w:t>
      </w:r>
    </w:p>
    <w:p w14:paraId="2D168F30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lastRenderedPageBreak/>
        <w:t xml:space="preserve">5.4. Рабочее место </w:t>
      </w:r>
      <w:proofErr w:type="spellStart"/>
      <w:r w:rsidRPr="00044B9C">
        <w:rPr>
          <w:rFonts w:ascii="Times New Roman" w:hAnsi="Times New Roman" w:cs="Times New Roman"/>
          <w:color w:val="auto"/>
          <w:szCs w:val="24"/>
          <w:lang w:val="ru-RU"/>
        </w:rPr>
        <w:t>ДЭиБУ</w:t>
      </w:r>
      <w:proofErr w:type="spellEnd"/>
    </w:p>
    <w:p w14:paraId="292B4866" w14:textId="6C3DE5CE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 xml:space="preserve">Сотрудникам </w:t>
      </w:r>
      <w:proofErr w:type="spellStart"/>
      <w:r w:rsidRPr="00044B9C">
        <w:rPr>
          <w:rFonts w:ascii="Times New Roman" w:hAnsi="Times New Roman" w:cs="Times New Roman"/>
          <w:sz w:val="24"/>
          <w:szCs w:val="24"/>
          <w:lang w:val="ru-RU"/>
        </w:rPr>
        <w:t>ДЭиБУ</w:t>
      </w:r>
      <w:proofErr w:type="spellEnd"/>
      <w:r w:rsidRPr="00044B9C">
        <w:rPr>
          <w:rFonts w:ascii="Times New Roman" w:hAnsi="Times New Roman" w:cs="Times New Roman"/>
          <w:sz w:val="24"/>
          <w:szCs w:val="24"/>
          <w:lang w:val="ru-RU"/>
        </w:rPr>
        <w:t xml:space="preserve"> должен предоставляться консолидированный список поступивших заявок с фильтрацией по подразделению, периоду, статусу и иным параметрам. Необходимо предусмотреть просмотр позиций заявки, комментарии, возврат на уточнение, отметки по результатам рассмотрения и последующую консолидацию согласованных данных.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Система должна позволять формировать сводный пакет данных и документов для рассмотрения Бюджетной комиссией.</w:t>
      </w:r>
    </w:p>
    <w:p w14:paraId="7C85408D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5.5. Развитие бюджетного модуля</w:t>
      </w:r>
    </w:p>
    <w:p w14:paraId="1F0A56B6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Архитектура должна предусматривать последующее развитие модуля в сторону план-факт анализа, контроля исполнения, отражения экономии, связи с договорами и фактическими данными учетных систем. Данный функционал может оцениваться исполнителем отдельно, если не включается в базовый этап.</w:t>
      </w:r>
    </w:p>
    <w:p w14:paraId="6AAD56C3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6. Модуль «Управление рисками»</w:t>
      </w:r>
    </w:p>
    <w:p w14:paraId="16E65E18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6.1. Реестр и карточка риска</w:t>
      </w:r>
    </w:p>
    <w:p w14:paraId="1EB47DBC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Система должна обеспечивать централизованный реестр рисков с поиском и фильтрацией по периоду, подразделению, категории, владельцу, уровню и статусу. Карточка риска должна включать описание риска, причины и последствия, владельца, категорию, оценку, стратегию реагирования, связанные мероприятия, КРП/</w:t>
      </w:r>
      <w:r w:rsidRPr="00044B9C">
        <w:rPr>
          <w:rFonts w:ascii="Times New Roman" w:hAnsi="Times New Roman" w:cs="Times New Roman"/>
          <w:sz w:val="24"/>
          <w:szCs w:val="24"/>
        </w:rPr>
        <w:t>KRI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 xml:space="preserve"> при наличии, документы, комментарии и историю изменений.</w:t>
      </w:r>
    </w:p>
    <w:p w14:paraId="0D4865EC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6.2. Оценка рисков</w:t>
      </w:r>
    </w:p>
    <w:p w14:paraId="2D7AD34C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Оценка должна выполняться по настраиваемой методике с использованием шкал вероятности и влияния, определением присущего и остаточного уровня риска и отображением на матрице рисков. Параметры методики и пороговые значения должны настраиваться в соответствии с внутренними документами Общества.</w:t>
      </w:r>
    </w:p>
    <w:p w14:paraId="5C08C5CD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6.3. Мероприятия</w:t>
      </w:r>
    </w:p>
    <w:p w14:paraId="57993658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Для каждого риска должна поддерживаться регистрация мероприятий с ответственным исполнителем, сроком, статусом, ожидаемым и фактическим результатом. Закрытие мероприятия должно сопровождаться фиксацией результата и подтверждающими материалами либо обоснованием в соответствии с установленным процессом.</w:t>
      </w:r>
    </w:p>
    <w:p w14:paraId="2BC6A4E3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6.4. Мониторинг и КРП/</w:t>
      </w:r>
      <w:r w:rsidRPr="00044B9C">
        <w:rPr>
          <w:rFonts w:ascii="Times New Roman" w:hAnsi="Times New Roman" w:cs="Times New Roman"/>
          <w:color w:val="auto"/>
          <w:szCs w:val="24"/>
        </w:rPr>
        <w:t>KRI</w:t>
      </w:r>
    </w:p>
    <w:p w14:paraId="7EB066E9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Система должна контролировать приближающиеся сроки и просрочки, направлять уведомления и эскалации. Для ключевых риск-индикаторов должны поддерживаться единица измерения, фактическое и пороговое значение, направление ухудшения, периодичность мониторинга и история значений.</w:t>
      </w:r>
    </w:p>
    <w:p w14:paraId="5068FFAA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6.5. Отчетность</w:t>
      </w:r>
    </w:p>
    <w:p w14:paraId="672502E2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Должны формироваться реестр рисков, план мероприятий, информация о просрочках и критических рисках, отчеты по подразделениям, история изменений, карта рисков и управленческий дашборд. Формы регламентной отчетности уточняются на обследовании.</w:t>
      </w:r>
    </w:p>
    <w:p w14:paraId="11EC880C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7. Модуль «Стратегическое управление»</w:t>
      </w:r>
    </w:p>
    <w:p w14:paraId="3A2BF612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7.1. Структура стратегии</w:t>
      </w:r>
    </w:p>
    <w:p w14:paraId="438BF5D8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Система должна обеспечивать ведение иерархии стратегических направлений, целей, задач/инициатив, показателей и мероприятий с указанием периода действия, ответственных подразделений, владельцев и статусов.</w:t>
      </w:r>
    </w:p>
    <w:p w14:paraId="6B63291F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7.2. Показатели и КПД</w:t>
      </w:r>
    </w:p>
    <w:p w14:paraId="562D794E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Для показателей должны поддерживаться наименование, единица измерения, формула или методика расчета, периодичность, плановое и фактическое значения, при необходимости вес и пороговые значения, ответственный, источник данных и комментарии. История плановых и фактических значений должна сохраняться.</w:t>
      </w:r>
    </w:p>
    <w:p w14:paraId="299386AB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7.3. План-факт и отчетные периоды</w:t>
      </w:r>
    </w:p>
    <w:p w14:paraId="1BA22617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Система должна обеспечивать работу по годовым, квартальным и иным настраиваемым периодам. Ответственные подразделения вносят фактические результаты и пояснения к отклонениям, после чего данные проходят установленный маршрут проверки и согласования.</w:t>
      </w:r>
    </w:p>
    <w:p w14:paraId="369BFD46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7.4. Мероприятия и контроль исполнения</w:t>
      </w:r>
    </w:p>
    <w:p w14:paraId="195033C2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Стратегические цели и показатели могут иметь связанные мероприятия с ответственными, сроками, статусами и результатами. Система должна выделять отклонения от плановых значений, приближающиеся сроки и просроченные мероприятия.</w:t>
      </w:r>
    </w:p>
    <w:p w14:paraId="34DE5E56" w14:textId="77777777" w:rsidR="00003917" w:rsidRPr="00044B9C" w:rsidRDefault="00000000" w:rsidP="00A77950">
      <w:pPr>
        <w:pStyle w:val="21"/>
        <w:spacing w:before="0" w:after="0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Cs w:val="24"/>
          <w:lang w:val="ru-RU"/>
        </w:rPr>
        <w:t>7.5. Отчетность</w:t>
      </w:r>
    </w:p>
    <w:p w14:paraId="51D5E04F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Должны быть предусмотрены дашборды и отчеты по достижению стратегических целей, исполнению показателей/КПД и мероприятий, подразделениям и периодам. Должна поддерживаться выгрузка данных и формирование регламентных форм после их уточнения на обследовании.</w:t>
      </w:r>
    </w:p>
    <w:p w14:paraId="150B1317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8. Взаимосвязь модулей</w:t>
      </w:r>
    </w:p>
    <w:p w14:paraId="350A7B82" w14:textId="0294D17E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Взаимодействие модулей должно обеспечивать логические связи между стратегическими целями, бюджетными инициативами и рисками без дублирования исходных данных. Профильные сведения создаются и сопровождаются в соответствующем модуле, а в связанных модулях используются ссылки и необходимые атрибуты.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В качестве целевой модели должны поддерживаться следующие связи: стратегическая цель или мероприятие может быть связано с бюджетной заявкой/инициативой; стратегическая цель, показатель или мероприятие может быть связано с одним или несколькими рисками; мероприятие по управлению риском при необходимости может быть связано с бюджетным обеспечением.</w:t>
      </w:r>
    </w:p>
    <w:p w14:paraId="69A0EFE8" w14:textId="7A933A42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При наличии прав доступа пользователь должен иметь возможность переходить между связанными объектами. Например, из карточки стратегической цели – к связанным рискам и бюджетным данным, из карточки риска – к соответствующей стратегической цели и мероприятию, из бюджетной инициативы – к цели или мероприятию, для реализации которого предусмотрено финансирование.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Связи между модулями должны быть настраиваемыми и не должны препятствовать автономной работе каждого модуля.</w:t>
      </w:r>
    </w:p>
    <w:p w14:paraId="5E207FA8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9. Единый пользовательский контур</w:t>
      </w:r>
    </w:p>
    <w:p w14:paraId="434E8001" w14:textId="0A263CD0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 xml:space="preserve">После авторизации пользователь должен получать доступ к функциям в соответствии со своими ролями. Желательно предусмотреть единую стартовую страницу с задачами пользователя, уведомлениями, приближающимися сроками и быстрым переходом в доступные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lastRenderedPageBreak/>
        <w:t>модули.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Общие справочники – организационная структура, пользователи, подразделения, отчетные периоды и иные согласованные сущности – должны использоваться централизованно, чтобы исключить расхождения между модулями.</w:t>
      </w:r>
    </w:p>
    <w:p w14:paraId="3591708B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10. Уведомления и контроль сроков</w:t>
      </w:r>
    </w:p>
    <w:p w14:paraId="27975798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Единый механизм уведомлений должен поддерживать события всех трех модулей: поступление на согласование, возврат на доработку, приближение срока, просрочка, необходимость внесения отчетных данных, изменение статуса и иные настраиваемые события.</w:t>
      </w:r>
    </w:p>
    <w:p w14:paraId="7408268D" w14:textId="77777777" w:rsidR="00003917" w:rsidRPr="00044B9C" w:rsidRDefault="00000000" w:rsidP="00A7795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Базовые каналы – уведомления внутри системы и корпоративная электронная почта. Интервалы, шаблоны, получатели и правила эскалации должны настраиваться.</w:t>
      </w:r>
    </w:p>
    <w:p w14:paraId="77BBE23C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11. Единая управленческая аналитика</w:t>
      </w:r>
    </w:p>
    <w:p w14:paraId="0B1415A6" w14:textId="719D84FE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Помимо профильных дашбордов каждого модуля должна предусматриваться возможность формирования единого аналитического представления для руководства. Такое представление должно позволять сопоставлять достижение стратегических целей, состояние связанных мероприятий, бюджетный статус и уровень связанных рисков.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Состав сводных показателей определяется на этапе обследования. Архитектура должна позволять расширять аналитику без изменения базовой логики модулей.</w:t>
      </w:r>
    </w:p>
    <w:p w14:paraId="1C8F36E2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12. Интеграции</w:t>
      </w:r>
    </w:p>
    <w:p w14:paraId="3D392AB5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 xml:space="preserve">Решение должно предусматривать документированные </w:t>
      </w:r>
      <w:r w:rsidRPr="00044B9C">
        <w:rPr>
          <w:rFonts w:ascii="Times New Roman" w:hAnsi="Times New Roman" w:cs="Times New Roman"/>
          <w:sz w:val="24"/>
          <w:szCs w:val="24"/>
        </w:rPr>
        <w:t>API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 xml:space="preserve"> либо иные стандартизированные механизмы обмена данными. Конкретный состав внешних интеграций определяется по итогам технического обследования.</w:t>
      </w:r>
    </w:p>
    <w:p w14:paraId="03664930" w14:textId="0D35022C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В перспективе могут потребоваться интеграции с учетными системами, СЭД, корпоративными сервисами и иными источниками данных Общества. Базовые модули не должны иметь критической зависимости от сложных интеграций, если соответствующая интеграция отдельно не включена в согласованный этап.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Для финансовых фактических данных при развитии бюджетного модуля предпочтительно использовать профильную учетную систему как источник, исключая повторное ручное ведение одних и тех же данных.</w:t>
      </w:r>
    </w:p>
    <w:p w14:paraId="06126C51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13. Информационная безопасность</w:t>
      </w:r>
    </w:p>
    <w:p w14:paraId="12DEB41B" w14:textId="4F01DE8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Система должна обеспечивать аутентификацию пользователей, ролевое разграничение доступа, защищенные каналы передачи данных, журналирование действий, резервное копирование и восстановление. Пользователь не должен получать доступ к данным другого подразделения или функционального контура, если такой доступ не предусмотрен его полномочиями.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Все значимые операции, согласования и изменения должны фиксироваться в журнале аудита. Утвержденные данные не должны удаляться или изменяться без контролируемой процедуры. Решение должно учитывать требования законодательства Республики Казахстан и внутренние требования Общества по информационной безопасности.</w:t>
      </w:r>
    </w:p>
    <w:p w14:paraId="04B023AA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</w:rPr>
        <w:t>14. Общие технические требования</w:t>
      </w:r>
    </w:p>
    <w:p w14:paraId="7454D88B" w14:textId="77777777" w:rsidR="00003917" w:rsidRPr="00044B9C" w:rsidRDefault="00000000" w:rsidP="00A77950">
      <w:pPr>
        <w:pStyle w:val="a0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</w:rPr>
        <w:t>web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-ориентированное решение с адаптивным интерфейсом;</w:t>
      </w:r>
    </w:p>
    <w:p w14:paraId="760437A4" w14:textId="77777777" w:rsidR="00003917" w:rsidRPr="00044B9C" w:rsidRDefault="00000000" w:rsidP="00A77950">
      <w:pPr>
        <w:pStyle w:val="a0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единая модульная архитектура с возможностью независимого развития функциональных блоков;</w:t>
      </w:r>
    </w:p>
    <w:p w14:paraId="1AD78531" w14:textId="77777777" w:rsidR="00003917" w:rsidRPr="00044B9C" w:rsidRDefault="00000000" w:rsidP="00A77950">
      <w:pPr>
        <w:pStyle w:val="a0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централизованное управление пользователями, ролями и общими справочниками;</w:t>
      </w:r>
    </w:p>
    <w:p w14:paraId="591D70F5" w14:textId="77777777" w:rsidR="00003917" w:rsidRPr="00044B9C" w:rsidRDefault="00000000" w:rsidP="00A77950">
      <w:pPr>
        <w:pStyle w:val="a0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настраиваемые маршруты, статусы, уведомления и отчетные периоды;</w:t>
      </w:r>
    </w:p>
    <w:p w14:paraId="59833DC5" w14:textId="77777777" w:rsidR="00003917" w:rsidRPr="00044B9C" w:rsidRDefault="00000000" w:rsidP="00A77950">
      <w:pPr>
        <w:pStyle w:val="a0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4B9C">
        <w:rPr>
          <w:rFonts w:ascii="Times New Roman" w:hAnsi="Times New Roman" w:cs="Times New Roman"/>
          <w:sz w:val="24"/>
          <w:szCs w:val="24"/>
        </w:rPr>
        <w:t>документированный</w:t>
      </w:r>
      <w:proofErr w:type="spellEnd"/>
      <w:r w:rsidRPr="00044B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B9C">
        <w:rPr>
          <w:rFonts w:ascii="Times New Roman" w:hAnsi="Times New Roman" w:cs="Times New Roman"/>
          <w:sz w:val="24"/>
          <w:szCs w:val="24"/>
        </w:rPr>
        <w:t>интеграционный</w:t>
      </w:r>
      <w:proofErr w:type="spellEnd"/>
      <w:r w:rsidRPr="00044B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B9C">
        <w:rPr>
          <w:rFonts w:ascii="Times New Roman" w:hAnsi="Times New Roman" w:cs="Times New Roman"/>
          <w:sz w:val="24"/>
          <w:szCs w:val="24"/>
        </w:rPr>
        <w:t>интерфейс</w:t>
      </w:r>
      <w:proofErr w:type="spellEnd"/>
      <w:r w:rsidRPr="00044B9C">
        <w:rPr>
          <w:rFonts w:ascii="Times New Roman" w:hAnsi="Times New Roman" w:cs="Times New Roman"/>
          <w:sz w:val="24"/>
          <w:szCs w:val="24"/>
        </w:rPr>
        <w:t>/API;</w:t>
      </w:r>
    </w:p>
    <w:p w14:paraId="1AE59572" w14:textId="77777777" w:rsidR="00003917" w:rsidRPr="00044B9C" w:rsidRDefault="00000000" w:rsidP="00A77950">
      <w:pPr>
        <w:pStyle w:val="a0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импорт исходных данных из согласованных </w:t>
      </w:r>
      <w:r w:rsidRPr="00044B9C">
        <w:rPr>
          <w:rFonts w:ascii="Times New Roman" w:hAnsi="Times New Roman" w:cs="Times New Roman"/>
          <w:sz w:val="24"/>
          <w:szCs w:val="24"/>
        </w:rPr>
        <w:t>Excel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 xml:space="preserve">-шаблонов и экспорт отчетности как минимум в </w:t>
      </w:r>
      <w:r w:rsidRPr="00044B9C">
        <w:rPr>
          <w:rFonts w:ascii="Times New Roman" w:hAnsi="Times New Roman" w:cs="Times New Roman"/>
          <w:sz w:val="24"/>
          <w:szCs w:val="24"/>
        </w:rPr>
        <w:t>XLSX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044B9C">
        <w:rPr>
          <w:rFonts w:ascii="Times New Roman" w:hAnsi="Times New Roman" w:cs="Times New Roman"/>
          <w:sz w:val="24"/>
          <w:szCs w:val="24"/>
        </w:rPr>
        <w:t>PDF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74A2F8F3" w14:textId="77777777" w:rsidR="00003917" w:rsidRPr="00044B9C" w:rsidRDefault="00000000" w:rsidP="00A77950">
      <w:pPr>
        <w:pStyle w:val="a0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ведение журналов системных и пользовательских действий;</w:t>
      </w:r>
    </w:p>
    <w:p w14:paraId="2B356782" w14:textId="77777777" w:rsidR="00003917" w:rsidRPr="00044B9C" w:rsidRDefault="00000000" w:rsidP="00A77950">
      <w:pPr>
        <w:pStyle w:val="a0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возможность размещения в инфраструктуре, согласованной с Обществом;</w:t>
      </w:r>
    </w:p>
    <w:p w14:paraId="3AD0A8FD" w14:textId="77777777" w:rsidR="00003917" w:rsidRPr="00044B9C" w:rsidRDefault="00000000" w:rsidP="00A77950">
      <w:pPr>
        <w:pStyle w:val="a0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передача необходимой технической и пользовательской документации, настроек и данных Заказчику.</w:t>
      </w:r>
    </w:p>
    <w:p w14:paraId="71EFC5AD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15. Миграция и первоначальное наполнение</w:t>
      </w:r>
    </w:p>
    <w:p w14:paraId="3480C58E" w14:textId="165F6F15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В рамках запуска должна быть предусмотрена первичная загрузка согласованных исходных данных по каждому модулю. Состав, качество и формат данных определяются в ходе обследования. Перед миграцией данные подлежат проверке и подтверждению ответственными подразделениями Общества.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Исполнитель должен предусмотреть шаблоны импорта и механизмы проверки результатов загрузки.</w:t>
      </w:r>
    </w:p>
    <w:p w14:paraId="4B27B5CC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16. Этапность реализации</w:t>
      </w:r>
    </w:p>
    <w:p w14:paraId="4D762B73" w14:textId="77777777" w:rsidR="00003917" w:rsidRPr="00044B9C" w:rsidRDefault="00000000" w:rsidP="00A7795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Предлагается поэтапная реализация с возможностью параллельной либо последовательной разработки модулей в зависимости от технического решения исполнителя.</w:t>
      </w:r>
    </w:p>
    <w:p w14:paraId="496DBA89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Этап 1. Обследование процессов, форм, ролей, маршрутов, справочников, исходных данных и интеграций по трем направлениям.</w:t>
      </w:r>
    </w:p>
    <w:p w14:paraId="1199F8DB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Этап 2. Проектирование общей архитектуры, модели доступа, общих сервисов и интеграционного слоя.</w:t>
      </w:r>
    </w:p>
    <w:p w14:paraId="5AECB04A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Этап 3. Разработка/настройка функциональных модулей «Бюджетирование», «Управление рисками» и «Стратегическое управление».</w:t>
      </w:r>
    </w:p>
    <w:p w14:paraId="4533F2B4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Этап 4. Настройка взаимосвязей модулей, уведомлений, аналитики и согласованных внешних интеграций.</w:t>
      </w:r>
    </w:p>
    <w:p w14:paraId="74F2CBD6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Этап 5. Миграция данных, тестирование, обучение пользователей и опытная эксплуатация.</w:t>
      </w:r>
    </w:p>
    <w:p w14:paraId="2182D8E4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Этап 6. Приемка и ввод в эксплуатацию.</w:t>
      </w:r>
    </w:p>
    <w:p w14:paraId="33C757F4" w14:textId="77777777" w:rsidR="00003917" w:rsidRPr="00044B9C" w:rsidRDefault="00000000" w:rsidP="00A7795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Исполнитель может предложить иную этапность с обоснованием влияния на сроки, стоимость и риски проекта.</w:t>
      </w:r>
    </w:p>
    <w:p w14:paraId="0185FD2B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17. Критерии приемки</w:t>
      </w:r>
    </w:p>
    <w:p w14:paraId="2757BF96" w14:textId="2505F5A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Приемка должна проводиться по согласованному объему каждого этапа на основании функционального тестирования и программы приемочных испытаний. Проверяются пользовательские роли и права, основные бизнес-сценарии каждого модуля, маршруты согласования, уведомления, контроль сроков, отчетность, журнал действий, импорт/экспорт и реализованные интеграционные связи.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Отдельно должна быть проверена автономная работоспособность каждого модуля и корректность обмена данными между модулями при включенных интеграционных связях.</w:t>
      </w:r>
    </w:p>
    <w:p w14:paraId="6C5DB3FF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18. Требования к техническому и коммерческому предложению исполнителя</w:t>
      </w:r>
    </w:p>
    <w:p w14:paraId="61CF1F4E" w14:textId="77777777" w:rsidR="00003917" w:rsidRPr="00044B9C" w:rsidRDefault="00000000" w:rsidP="00A7795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На основании настоящего ТЗ исполнитель должен представить техническое и коммерческое предложение, позволяющее оценить как реализацию Единого цифрового сервиса в целом, так и стоимость отдельных функциональных модулей.</w:t>
      </w:r>
    </w:p>
    <w:p w14:paraId="61F0D783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предлагаемая архитектура и технологический стек;</w:t>
      </w:r>
    </w:p>
    <w:p w14:paraId="6F88B72C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описание общей платформенной части и трех функциональных модулей;</w:t>
      </w:r>
    </w:p>
    <w:p w14:paraId="6AE7F31D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подход к единой авторизации, ролям, справочникам, уведомлениям, аудиту и аналитике;</w:t>
      </w:r>
    </w:p>
    <w:p w14:paraId="5F66A189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предлагаемый механизм взаимосвязи модулей и внешних интеграций;</w:t>
      </w:r>
    </w:p>
    <w:p w14:paraId="7F4FE44D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состав функционала базового этапа и отдельно опционального/перспективного функционала;</w:t>
      </w:r>
    </w:p>
    <w:p w14:paraId="36F64E84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требования к серверной, программной и иной инфраструктуре;</w:t>
      </w:r>
    </w:p>
    <w:p w14:paraId="222EF133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4B9C">
        <w:rPr>
          <w:rFonts w:ascii="Times New Roman" w:hAnsi="Times New Roman" w:cs="Times New Roman"/>
          <w:sz w:val="24"/>
          <w:szCs w:val="24"/>
        </w:rPr>
        <w:t>меры</w:t>
      </w:r>
      <w:proofErr w:type="spellEnd"/>
      <w:r w:rsidRPr="00044B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B9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044B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B9C">
        <w:rPr>
          <w:rFonts w:ascii="Times New Roman" w:hAnsi="Times New Roman" w:cs="Times New Roman"/>
          <w:sz w:val="24"/>
          <w:szCs w:val="24"/>
        </w:rPr>
        <w:t>информационной</w:t>
      </w:r>
      <w:proofErr w:type="spellEnd"/>
      <w:r w:rsidRPr="00044B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B9C">
        <w:rPr>
          <w:rFonts w:ascii="Times New Roman" w:hAnsi="Times New Roman" w:cs="Times New Roman"/>
          <w:sz w:val="24"/>
          <w:szCs w:val="24"/>
        </w:rPr>
        <w:t>безопасности</w:t>
      </w:r>
      <w:proofErr w:type="spellEnd"/>
      <w:r w:rsidRPr="00044B9C">
        <w:rPr>
          <w:rFonts w:ascii="Times New Roman" w:hAnsi="Times New Roman" w:cs="Times New Roman"/>
          <w:sz w:val="24"/>
          <w:szCs w:val="24"/>
        </w:rPr>
        <w:t>;</w:t>
      </w:r>
    </w:p>
    <w:p w14:paraId="7DE803CC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этапы и календарные сроки реализации;</w:t>
      </w:r>
    </w:p>
    <w:p w14:paraId="48E693E2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4B9C">
        <w:rPr>
          <w:rFonts w:ascii="Times New Roman" w:hAnsi="Times New Roman" w:cs="Times New Roman"/>
          <w:sz w:val="24"/>
          <w:szCs w:val="24"/>
        </w:rPr>
        <w:t>состав</w:t>
      </w:r>
      <w:proofErr w:type="spellEnd"/>
      <w:r w:rsidRPr="00044B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B9C">
        <w:rPr>
          <w:rFonts w:ascii="Times New Roman" w:hAnsi="Times New Roman" w:cs="Times New Roman"/>
          <w:sz w:val="24"/>
          <w:szCs w:val="24"/>
        </w:rPr>
        <w:t>проектной</w:t>
      </w:r>
      <w:proofErr w:type="spellEnd"/>
      <w:r w:rsidRPr="00044B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B9C">
        <w:rPr>
          <w:rFonts w:ascii="Times New Roman" w:hAnsi="Times New Roman" w:cs="Times New Roman"/>
          <w:sz w:val="24"/>
          <w:szCs w:val="24"/>
        </w:rPr>
        <w:t>команды</w:t>
      </w:r>
      <w:proofErr w:type="spellEnd"/>
      <w:r w:rsidRPr="00044B9C">
        <w:rPr>
          <w:rFonts w:ascii="Times New Roman" w:hAnsi="Times New Roman" w:cs="Times New Roman"/>
          <w:sz w:val="24"/>
          <w:szCs w:val="24"/>
        </w:rPr>
        <w:t>;</w:t>
      </w:r>
    </w:p>
    <w:p w14:paraId="50C418CC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4B9C">
        <w:rPr>
          <w:rFonts w:ascii="Times New Roman" w:hAnsi="Times New Roman" w:cs="Times New Roman"/>
          <w:sz w:val="24"/>
          <w:szCs w:val="24"/>
        </w:rPr>
        <w:t>стоимость общей платформенной части;</w:t>
      </w:r>
    </w:p>
    <w:p w14:paraId="0DF81FD5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стоимость каждого модуля отдельно: «Бюджетирование», «Управление рисками», «Стратегическое управление»;</w:t>
      </w:r>
    </w:p>
    <w:p w14:paraId="02E9DA11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отдельная стоимость настройки интеграционных связей между модулями;</w:t>
      </w:r>
    </w:p>
    <w:p w14:paraId="605F6DAE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стоимость внешних интеграций, лицензий и сторонних компонентов, если применимо;</w:t>
      </w:r>
    </w:p>
    <w:p w14:paraId="47FF8C32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условия гарантийной и последующей технической поддержки;</w:t>
      </w:r>
    </w:p>
    <w:p w14:paraId="31B23ECB" w14:textId="77777777" w:rsidR="00003917" w:rsidRPr="00044B9C" w:rsidRDefault="00000000" w:rsidP="00A77950">
      <w:pPr>
        <w:pStyle w:val="a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перечень результатов, исходных материалов и документации, передаваемых Обществу.</w:t>
      </w:r>
    </w:p>
    <w:p w14:paraId="1E1FC96A" w14:textId="77777777" w:rsidR="00003917" w:rsidRPr="00044B9C" w:rsidRDefault="00000000" w:rsidP="00A7795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При наличии нескольких вариантов реализации исполнитель может представить альтернативные предложения с указанием различий по архитектуре, функциональности, срокам, стоимости, требованиям к инфраструктуре и дальнейшему сопровождению.</w:t>
      </w:r>
    </w:p>
    <w:p w14:paraId="447EAEEA" w14:textId="77777777" w:rsidR="00003917" w:rsidRPr="00044B9C" w:rsidRDefault="00000000" w:rsidP="00A77950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color w:val="auto"/>
          <w:sz w:val="24"/>
          <w:szCs w:val="24"/>
          <w:lang w:val="ru-RU"/>
        </w:rPr>
        <w:t>19. Ожидаемый результат</w:t>
      </w:r>
    </w:p>
    <w:p w14:paraId="38D64FA6" w14:textId="543EE89F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По итогам проекта Общество должно получить единый внутренний цифровой сервис, в котором процессы бюджетирования, управления рисками и стратегического управления автоматизированы в рамках общей технологической среды и при необходимости связаны между собой.</w:t>
      </w:r>
      <w:r w:rsidR="00A779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4B9C">
        <w:rPr>
          <w:rFonts w:ascii="Times New Roman" w:hAnsi="Times New Roman" w:cs="Times New Roman"/>
          <w:sz w:val="24"/>
          <w:szCs w:val="24"/>
          <w:lang w:val="ru-RU"/>
        </w:rPr>
        <w:t>Сервис должен обеспечить профильным подразделениям специализированные рабочие инструменты, сотрудникам – понятные маршруты предоставления и согласования данных, а руководству – консолидированное представление о стратегических целях, ресурсном обеспечении, исполнении мероприятий и связанных рисках.</w:t>
      </w:r>
    </w:p>
    <w:p w14:paraId="10BA7876" w14:textId="77777777" w:rsidR="00003917" w:rsidRPr="00044B9C" w:rsidRDefault="00000000" w:rsidP="00A779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9C">
        <w:rPr>
          <w:rFonts w:ascii="Times New Roman" w:hAnsi="Times New Roman" w:cs="Times New Roman"/>
          <w:sz w:val="24"/>
          <w:szCs w:val="24"/>
          <w:lang w:val="ru-RU"/>
        </w:rPr>
        <w:t>Архитектура решения должна обеспечивать дальнейшее развитие функционала и подключение дополнительных корпоративных сервисов без необходимости полной переработки системы.</w:t>
      </w:r>
    </w:p>
    <w:sectPr w:rsidR="00003917" w:rsidRPr="00044B9C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2EE62" w14:textId="77777777" w:rsidR="00F42D56" w:rsidRDefault="00F42D56">
      <w:pPr>
        <w:spacing w:after="0" w:line="240" w:lineRule="auto"/>
      </w:pPr>
      <w:r>
        <w:separator/>
      </w:r>
    </w:p>
  </w:endnote>
  <w:endnote w:type="continuationSeparator" w:id="0">
    <w:p w14:paraId="47401A0A" w14:textId="77777777" w:rsidR="00F42D56" w:rsidRDefault="00F4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7245" w14:textId="77777777" w:rsidR="00A77950" w:rsidRDefault="00A7795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233C1" w14:textId="4D092A75" w:rsidR="00003917" w:rsidRPr="00044B9C" w:rsidRDefault="00003917" w:rsidP="00A77950">
    <w:pPr>
      <w:pStyle w:val="a7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F8B21" w14:textId="77777777" w:rsidR="00A77950" w:rsidRDefault="00A7795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95E12" w14:textId="77777777" w:rsidR="00F42D56" w:rsidRDefault="00F42D56">
      <w:pPr>
        <w:spacing w:after="0" w:line="240" w:lineRule="auto"/>
      </w:pPr>
      <w:r>
        <w:separator/>
      </w:r>
    </w:p>
  </w:footnote>
  <w:footnote w:type="continuationSeparator" w:id="0">
    <w:p w14:paraId="13767F0E" w14:textId="77777777" w:rsidR="00F42D56" w:rsidRDefault="00F42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520AC" w14:textId="77777777" w:rsidR="00A77950" w:rsidRDefault="00A7795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CC0F0" w14:textId="77777777" w:rsidR="00A77950" w:rsidRDefault="00A7795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07CA" w14:textId="77777777" w:rsidR="00A77950" w:rsidRDefault="00A7795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B7307D"/>
    <w:multiLevelType w:val="hybridMultilevel"/>
    <w:tmpl w:val="D644A0BA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5D0135"/>
    <w:multiLevelType w:val="hybridMultilevel"/>
    <w:tmpl w:val="DFF8D03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9506708">
    <w:abstractNumId w:val="8"/>
  </w:num>
  <w:num w:numId="2" w16cid:durableId="1624193641">
    <w:abstractNumId w:val="6"/>
  </w:num>
  <w:num w:numId="3" w16cid:durableId="1568953222">
    <w:abstractNumId w:val="5"/>
  </w:num>
  <w:num w:numId="4" w16cid:durableId="1162618082">
    <w:abstractNumId w:val="4"/>
  </w:num>
  <w:num w:numId="5" w16cid:durableId="1680808499">
    <w:abstractNumId w:val="7"/>
  </w:num>
  <w:num w:numId="6" w16cid:durableId="130367201">
    <w:abstractNumId w:val="3"/>
  </w:num>
  <w:num w:numId="7" w16cid:durableId="226036685">
    <w:abstractNumId w:val="2"/>
  </w:num>
  <w:num w:numId="8" w16cid:durableId="101459300">
    <w:abstractNumId w:val="1"/>
  </w:num>
  <w:num w:numId="9" w16cid:durableId="1574046778">
    <w:abstractNumId w:val="0"/>
  </w:num>
  <w:num w:numId="10" w16cid:durableId="304433537">
    <w:abstractNumId w:val="9"/>
  </w:num>
  <w:num w:numId="11" w16cid:durableId="8169946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917"/>
    <w:rsid w:val="00034616"/>
    <w:rsid w:val="00044B9C"/>
    <w:rsid w:val="0006063C"/>
    <w:rsid w:val="0015074B"/>
    <w:rsid w:val="0029639D"/>
    <w:rsid w:val="00326F90"/>
    <w:rsid w:val="007802B9"/>
    <w:rsid w:val="00A77950"/>
    <w:rsid w:val="00AA1D8D"/>
    <w:rsid w:val="00B47730"/>
    <w:rsid w:val="00CB0664"/>
    <w:rsid w:val="00F42D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24E92C"/>
  <w14:defaultImageDpi w14:val="300"/>
  <w15:docId w15:val="{085B53F9-02BA-48CA-B3F2-16A3BF83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2600</Words>
  <Characters>14820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Арлан-Едиге Мауленов</cp:lastModifiedBy>
  <cp:revision>3</cp:revision>
  <dcterms:created xsi:type="dcterms:W3CDTF">2013-12-23T23:15:00Z</dcterms:created>
  <dcterms:modified xsi:type="dcterms:W3CDTF">2026-10-09T10:09:00Z</dcterms:modified>
  <cp:category/>
</cp:coreProperties>
</file>