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Meta"/>
        <w:spacing w:after="120"/>
      </w:pPr>
      <w:r>
        <w:t>ТЕХНИЧЕСКОЕ ЗАДАНИЕ  •  ДЛЯ ПУБЛИКАЦИИ ТЕХНОЛОГИЧЕСКОЙ ЗАДАЧИ</w:t>
      </w:r>
    </w:p>
    <w:p>
      <w:pPr>
        <w:spacing w:after="100"/>
      </w:pPr>
      <w:r>
        <w:rPr>
          <w:rFonts w:ascii="Carlito" w:hAnsi="Carlito"/>
          <w:b/>
          <w:color w:val="172D48"/>
          <w:sz w:val="34"/>
        </w:rPr>
        <w:t>Разработка и внедрение технологического решения</w:t>
        <w:br/>
        <w:t>для автоматизации учёта корпоративной техники</w:t>
        <w:br/>
        <w:t>в Битрикс24 с интеграцией 1С</w:t>
      </w:r>
    </w:p>
    <w:p>
      <w:pPr>
        <w:pStyle w:val="Lead"/>
        <w:spacing w:after="160"/>
      </w:pPr>
      <w:r>
        <w:t>Формат: разработка и внедрение технологического решения. Рабочая среда: действующий корпоративный портал Битрикс24.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fill="EFF4F8"/>
            <w:tcBorders>
              <w:left w:val="single" w:sz="22" w:color="1F517A"/>
            </w:tcBorders>
          </w:tcPr>
          <w:p>
            <w:pPr>
              <w:spacing w:after="40"/>
            </w:pPr>
            <w:r>
              <w:rPr>
                <w:b/>
                <w:color w:val="172D48"/>
                <w:sz w:val="20"/>
              </w:rPr>
              <w:t xml:space="preserve">Ключевое условие. </w:t>
            </w:r>
            <w:r>
              <w:rPr>
                <w:sz w:val="20"/>
              </w:rPr>
              <w:t>Реестр, карточки, процессы движения техники и отчётность должны работать непосредственно внутри Битрикс24. Отдельная самостоятельная платформа не предусматривается.</w:t>
            </w:r>
          </w:p>
        </w:tc>
      </w:tr>
    </w:tbl>
    <w:p>
      <w:pPr>
        <w:spacing w:after="0"/>
      </w:pPr>
    </w:p>
    <w:p>
      <w:pPr>
        <w:pStyle w:val="Heading1"/>
      </w:pPr>
      <w:r>
        <w:t>1. Цель и описание задачи</w:t>
      </w:r>
    </w:p>
    <w:p>
      <w:r>
        <w:t>Цель: разработать и внедрить технологическое решение для оперативного учёта и управления корпоративной техникой непосредственно в Битрикс24. Решение должно включать интеграционный механизм получения согласованных данных из 1С, электронный реестр оборудования, автоматизированные процессы движения техники и инструменты отчётности.</w:t>
      </w:r>
    </w:p>
    <w:p>
      <w:r>
        <w:t>Компания уже ведёт учёт техники с использованием Excel-реестров и 1С. Проект направлен на развитие действующего порядка работы, сокращение повторяющихся операций и создание удобного интерфейса для ответственных сотрудников без изменения роли 1С в бухгалтерском учёте.</w:t>
      </w:r>
    </w:p>
    <w:p>
      <w:pPr>
        <w:pStyle w:val="Heading1"/>
      </w:pPr>
      <w:r>
        <w:t>2. Текущий и целевой процессы (AS IS / TO BE)</w:t>
      </w:r>
    </w:p>
    <w:p>
      <w:pPr>
        <w:pStyle w:val="Small"/>
      </w:pPr>
      <w:r>
        <w:t>Сопоставление отражает исходную концепцию проекта. Детали фактических маршрутов и состава данных уточняются на этапе обследования.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  <w:cantSplit/>
        </w:trPr>
        <w:tc>
          <w:tcPr>
            <w:tcW w:type="dxa" w:w="4819"/>
            <w:vAlign w:val="center"/>
            <w:shd w:fill="1F517A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b/>
                <w:color w:val="FFFFFF"/>
                <w:sz w:val="18"/>
              </w:rPr>
              <w:t>AS IS. Действующий подход</w:t>
            </w:r>
          </w:p>
        </w:tc>
        <w:tc>
          <w:tcPr>
            <w:tcW w:type="dxa" w:w="4819"/>
            <w:vAlign w:val="center"/>
            <w:shd w:fill="1F517A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b/>
                <w:color w:val="FFFFFF"/>
                <w:sz w:val="18"/>
              </w:rPr>
              <w:t>TO BE. После внедрения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b/>
                <w:color w:val="172D48"/>
                <w:sz w:val="18"/>
              </w:rPr>
              <w:t>Информация ведётся в Excel-реестрах и 1С в рамках соответствующих задач.</w:t>
            </w:r>
          </w:p>
        </w:tc>
        <w:tc>
          <w:tcPr>
            <w:tcW w:type="dxa" w:w="4819"/>
            <w:vAlign w:val="center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color w:val="27333E"/>
                <w:sz w:val="18"/>
              </w:rPr>
              <w:t>Единый оперативный реестр и карточки техники внутри Битрикс24; 1С сохраняет бухгалтерский учёт.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shd w:fill="F2F6F9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b/>
                <w:color w:val="172D48"/>
                <w:sz w:val="18"/>
              </w:rPr>
              <w:t>Актуализация и сопоставление сведений предполагают периодические ручные действия.</w:t>
            </w:r>
          </w:p>
        </w:tc>
        <w:tc>
          <w:tcPr>
            <w:tcW w:type="dxa" w:w="4819"/>
            <w:vAlign w:val="center"/>
            <w:shd w:fill="F2F6F9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color w:val="27333E"/>
                <w:sz w:val="18"/>
              </w:rPr>
              <w:t>Согласованные сведения передаются из 1С по регламенту; записи сопоставляются автоматически.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b/>
                <w:color w:val="172D48"/>
                <w:sz w:val="18"/>
              </w:rPr>
              <w:t>Выдача, возврат и перемещения оформляются с использованием действующих инструментов.</w:t>
            </w:r>
          </w:p>
        </w:tc>
        <w:tc>
          <w:tcPr>
            <w:tcW w:type="dxa" w:w="4819"/>
            <w:vAlign w:val="center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color w:val="27333E"/>
                <w:sz w:val="18"/>
              </w:rPr>
              <w:t>Операции выполняются через процессы Битрикс24, с обновлением статуса и ответственного.</w:t>
            </w:r>
          </w:p>
        </w:tc>
      </w:tr>
      <w:tr>
        <w:trPr>
          <w:cantSplit/>
        </w:trPr>
        <w:tc>
          <w:tcPr>
            <w:tcW w:type="dxa" w:w="4819"/>
            <w:vAlign w:val="center"/>
            <w:shd w:fill="F2F6F9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b/>
                <w:color w:val="172D48"/>
                <w:sz w:val="18"/>
              </w:rPr>
              <w:t>Для подготовки сводных данных требуется сбор информации из нескольких источников.</w:t>
            </w:r>
          </w:p>
        </w:tc>
        <w:tc>
          <w:tcPr>
            <w:tcW w:type="dxa" w:w="4819"/>
            <w:vAlign w:val="center"/>
            <w:shd w:fill="F2F6F9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color w:val="27333E"/>
                <w:sz w:val="18"/>
              </w:rPr>
              <w:t>Поиск, фильтры, история операций и отчёты доступны из реестра Битрикс24.</w:t>
            </w:r>
          </w:p>
        </w:tc>
      </w:tr>
    </w:tbl>
    <w:p>
      <w:pPr>
        <w:spacing w:after="0"/>
      </w:pPr>
    </w:p>
    <w:p>
      <w:pPr>
        <w:pStyle w:val="Small"/>
      </w:pPr>
      <w:r>
        <w:t>Ожидаемое изменение: меньше ручной сверки и повторного ввода, при сохранении действующих правил бухгалтерского учёта и ответственности подразделений.</w:t>
      </w:r>
    </w:p>
    <w:p>
      <w:r>
        <w:br w:type="page"/>
      </w:r>
    </w:p>
    <w:p>
      <w:pPr>
        <w:pStyle w:val="Heading1"/>
      </w:pPr>
      <w:r>
        <w:t>3. Архитектура и правила обмена данными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/>
          <w:cantSplit/>
          <w:cantSplit/>
        </w:trPr>
        <w:tc>
          <w:tcPr>
            <w:tcW w:type="dxa" w:w="3146"/>
            <w:vAlign w:val="center"/>
            <w:shd w:fill="EAF1F7"/>
            <w:tcBorders>
              <w:bottom w:val="single" w:sz="5" w:color="C9D8E5"/>
            </w:tcBorders>
          </w:tcPr>
          <w:p>
            <w:pPr>
              <w:spacing w:after="60"/>
              <w:jc w:val="center"/>
            </w:pPr>
            <w:r/>
            <w:r>
              <w:rPr>
                <w:rFonts w:ascii="Carlito" w:hAnsi="Carlito"/>
                <w:b/>
                <w:color w:val="172D48"/>
                <w:sz w:val="20"/>
              </w:rPr>
              <w:t>1С</w:t>
            </w:r>
          </w:p>
          <w:p>
            <w:pPr>
              <w:spacing w:after="20"/>
              <w:jc w:val="center"/>
            </w:pPr>
            <w:r>
              <w:rPr>
                <w:color w:val="27333E"/>
                <w:sz w:val="17"/>
              </w:rPr>
              <w:t>Бухгалтерский учёт и согласованные справочные данные</w:t>
            </w:r>
          </w:p>
        </w:tc>
        <w:tc>
          <w:tcPr>
            <w:tcW w:type="dxa" w:w="3260"/>
            <w:vAlign w:val="center"/>
            <w:shd w:fill="F5F7FA"/>
            <w:tcBorders>
              <w:bottom w:val="single" w:sz="5" w:color="C9D8E5"/>
            </w:tcBorders>
          </w:tcPr>
          <w:p>
            <w:pPr>
              <w:spacing w:after="60"/>
              <w:jc w:val="center"/>
            </w:pPr>
            <w:r/>
            <w:r>
              <w:rPr>
                <w:rFonts w:ascii="Carlito" w:hAnsi="Carlito"/>
                <w:b/>
                <w:color w:val="172D48"/>
                <w:sz w:val="20"/>
              </w:rPr>
              <w:t>→  Обмен данными  →</w:t>
            </w:r>
          </w:p>
          <w:p>
            <w:pPr>
              <w:spacing w:after="20"/>
              <w:jc w:val="center"/>
            </w:pPr>
            <w:r>
              <w:rPr>
                <w:color w:val="27333E"/>
                <w:sz w:val="17"/>
              </w:rPr>
              <w:t>Сопоставление записей, проверка, журналирование</w:t>
            </w:r>
          </w:p>
        </w:tc>
        <w:tc>
          <w:tcPr>
            <w:tcW w:type="dxa" w:w="3231"/>
            <w:vAlign w:val="center"/>
            <w:shd w:fill="EAF1F7"/>
            <w:tcBorders>
              <w:bottom w:val="single" w:sz="5" w:color="C9D8E5"/>
            </w:tcBorders>
          </w:tcPr>
          <w:p>
            <w:pPr>
              <w:spacing w:after="60"/>
              <w:jc w:val="center"/>
            </w:pPr>
            <w:r/>
            <w:r>
              <w:rPr>
                <w:rFonts w:ascii="Carlito" w:hAnsi="Carlito"/>
                <w:b/>
                <w:color w:val="172D48"/>
                <w:sz w:val="20"/>
              </w:rPr>
              <w:t>Битрикс24</w:t>
            </w:r>
          </w:p>
          <w:p>
            <w:pPr>
              <w:spacing w:after="20"/>
              <w:jc w:val="center"/>
            </w:pPr>
            <w:r>
              <w:rPr>
                <w:color w:val="27333E"/>
                <w:sz w:val="17"/>
              </w:rPr>
              <w:t>Оперативный реестр, движение техники, отчётность</w:t>
            </w:r>
          </w:p>
        </w:tc>
      </w:tr>
    </w:tbl>
    <w:p>
      <w:pPr>
        <w:spacing w:after="0"/>
      </w:pPr>
    </w:p>
    <w:p>
      <w:pPr>
        <w:pStyle w:val="Small"/>
      </w:pPr>
      <w:r>
        <w:t>Excel-реестры используются для первичной загрузки и проверки исходных записей. После запуска оперативное ведение оборудования осуществляется в Битрикс24.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3"/>
        <w:gridCol w:w="7285"/>
      </w:tblGrid>
      <w:tr>
        <w:trPr>
          <w:tblHeader w:val="true"/>
          <w:cantSplit/>
        </w:trPr>
        <w:tc>
          <w:tcPr>
            <w:tcW w:type="dxa" w:w="2353"/>
            <w:vAlign w:val="center"/>
            <w:shd w:fill="1F517A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b/>
                <w:color w:val="FFFFFF"/>
                <w:sz w:val="18"/>
              </w:rPr>
              <w:t>Группа данных</w:t>
            </w:r>
          </w:p>
        </w:tc>
        <w:tc>
          <w:tcPr>
            <w:tcW w:type="dxa" w:w="7285"/>
            <w:vAlign w:val="center"/>
            <w:shd w:fill="1F517A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b/>
                <w:color w:val="FFFFFF"/>
                <w:sz w:val="18"/>
              </w:rPr>
              <w:t>Источник / правила ведения</w:t>
            </w:r>
          </w:p>
        </w:tc>
      </w:tr>
      <w:tr>
        <w:trPr>
          <w:cantSplit/>
        </w:trPr>
        <w:tc>
          <w:tcPr>
            <w:tcW w:type="dxa" w:w="2353"/>
            <w:vAlign w:val="center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b/>
                <w:color w:val="172D48"/>
                <w:sz w:val="18"/>
              </w:rPr>
              <w:t>Бухгалтерские сведения</w:t>
            </w:r>
          </w:p>
        </w:tc>
        <w:tc>
          <w:tcPr>
            <w:tcW w:type="dxa" w:w="7285"/>
            <w:vAlign w:val="center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color w:val="27333E"/>
                <w:sz w:val="18"/>
              </w:rPr>
              <w:t>1С: инвентарный номер, даты учёта и другие согласованные поля. Передаются в Битрикс24 без изменения бухгалтерской логики.</w:t>
            </w:r>
          </w:p>
        </w:tc>
      </w:tr>
      <w:tr>
        <w:trPr>
          <w:cantSplit/>
        </w:trPr>
        <w:tc>
          <w:tcPr>
            <w:tcW w:type="dxa" w:w="2353"/>
            <w:vAlign w:val="center"/>
            <w:shd w:fill="F2F6F9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b/>
                <w:color w:val="172D48"/>
                <w:sz w:val="18"/>
              </w:rPr>
              <w:t>Оперативные сведения</w:t>
            </w:r>
          </w:p>
        </w:tc>
        <w:tc>
          <w:tcPr>
            <w:tcW w:type="dxa" w:w="7285"/>
            <w:vAlign w:val="center"/>
            <w:shd w:fill="F2F6F9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color w:val="27333E"/>
                <w:sz w:val="18"/>
              </w:rPr>
              <w:t>Битрикс24: закреплённый сотрудник, местонахождение, статус движения, история операций. Обновляются через утверждённые процессы.</w:t>
            </w:r>
          </w:p>
        </w:tc>
      </w:tr>
      <w:tr>
        <w:trPr>
          <w:cantSplit/>
        </w:trPr>
        <w:tc>
          <w:tcPr>
            <w:tcW w:type="dxa" w:w="2353"/>
            <w:vAlign w:val="center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b/>
                <w:color w:val="172D48"/>
                <w:sz w:val="18"/>
              </w:rPr>
              <w:t>Идентификация записей</w:t>
            </w:r>
          </w:p>
        </w:tc>
        <w:tc>
          <w:tcPr>
            <w:tcW w:type="dxa" w:w="7285"/>
            <w:vAlign w:val="center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color w:val="27333E"/>
                <w:sz w:val="18"/>
              </w:rPr>
              <w:t>Сопоставление по инвентарному и/или другому устойчивому идентификатору; неоднозначные совпадения выносятся на проверку.</w:t>
            </w:r>
          </w:p>
        </w:tc>
      </w:tr>
    </w:tbl>
    <w:p>
      <w:pPr>
        <w:spacing w:after="0"/>
      </w:pPr>
    </w:p>
    <w:p>
      <w:pPr>
        <w:pStyle w:val="Heading2"/>
      </w:pPr>
      <w:r>
        <w:t>3.1. Требования к синхронизации</w:t>
      </w:r>
    </w:p>
    <w:p>
      <w:pPr>
        <w:spacing w:after="40" w:line="250" w:lineRule="auto"/>
        <w:ind w:left="272" w:hanging="142"/>
      </w:pPr>
      <w:r>
        <w:rPr>
          <w:color w:val="1B5384"/>
        </w:rPr>
        <w:t xml:space="preserve">•  </w:t>
      </w:r>
      <w:r>
        <w:t>Приоритетный поток: 1С → Битрикс24. Направления, способ подключения, перечень полей и периодичность фиксируются после обследования доступных конфигураций.</w:t>
      </w:r>
    </w:p>
    <w:p>
      <w:pPr>
        <w:spacing w:after="40" w:line="250" w:lineRule="auto"/>
        <w:ind w:left="272" w:hanging="142"/>
      </w:pPr>
      <w:r>
        <w:rPr>
          <w:color w:val="1B5384"/>
        </w:rPr>
        <w:t xml:space="preserve">•  </w:t>
      </w:r>
      <w:r>
        <w:t>Предусмотреть первичную загрузку, повторяемые обновления без создания дублей и проверку заполненности обязательных полей.</w:t>
      </w:r>
    </w:p>
    <w:p>
      <w:pPr>
        <w:spacing w:after="40" w:line="250" w:lineRule="auto"/>
        <w:ind w:left="272" w:hanging="142"/>
      </w:pPr>
      <w:r>
        <w:rPr>
          <w:color w:val="1B5384"/>
        </w:rPr>
        <w:t xml:space="preserve">•  </w:t>
      </w:r>
      <w:r>
        <w:t>Не перезаписывать оперативные поля Битрикс24 данными из 1С. При несовпадении ключей или конфликте сведений направлять запись на проверку.</w:t>
      </w:r>
    </w:p>
    <w:p>
      <w:pPr>
        <w:spacing w:after="40" w:line="250" w:lineRule="auto"/>
        <w:ind w:left="272" w:hanging="142"/>
      </w:pPr>
      <w:r>
        <w:rPr>
          <w:color w:val="1B5384"/>
        </w:rPr>
        <w:t xml:space="preserve">•  </w:t>
      </w:r>
      <w:r>
        <w:t>Фиксировать дату, результат обмена, ошибки и повторные попытки; предусмотреть уведомление ответственного о сбоях.</w:t>
      </w:r>
    </w:p>
    <w:p>
      <w:pPr>
        <w:spacing w:after="40" w:line="250" w:lineRule="auto"/>
        <w:ind w:left="272" w:hanging="142"/>
      </w:pPr>
      <w:r>
        <w:rPr>
          <w:color w:val="1B5384"/>
        </w:rPr>
        <w:t xml:space="preserve">•  </w:t>
      </w:r>
      <w:r>
        <w:t>Обратная запись в 1С не входит в базовый сценарий и рассматривается только после отдельного согласования с бухгалтерией и ИБ.</w:t>
      </w:r>
    </w:p>
    <w:p>
      <w:pPr>
        <w:pStyle w:val="Heading1"/>
      </w:pPr>
      <w:r>
        <w:t>4. Функциональные требования</w:t>
      </w:r>
    </w:p>
    <w:p>
      <w:pPr>
        <w:pStyle w:val="Heading2"/>
      </w:pPr>
      <w:r>
        <w:t>4.1. Реестр и карточка оборудования</w:t>
      </w:r>
    </w:p>
    <w:p>
      <w:r>
        <w:t>Реализовать реестр в действующем Битрикс24 средствами смарт-процессов, пользовательских полей и автоматизации либо другим штатно совместимым способом. Для каждой единицы техники предусмотреть отдельную карточку.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3"/>
        <w:gridCol w:w="7285"/>
      </w:tblGrid>
      <w:tr>
        <w:trPr>
          <w:tblHeader w:val="true"/>
          <w:cantSplit/>
        </w:trPr>
        <w:tc>
          <w:tcPr>
            <w:tcW w:type="dxa" w:w="2353"/>
            <w:vAlign w:val="center"/>
            <w:shd w:fill="1F517A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b/>
                <w:color w:val="FFFFFF"/>
                <w:sz w:val="18"/>
              </w:rPr>
              <w:t>Раздел карточки</w:t>
            </w:r>
          </w:p>
        </w:tc>
        <w:tc>
          <w:tcPr>
            <w:tcW w:type="dxa" w:w="7285"/>
            <w:vAlign w:val="center"/>
            <w:shd w:fill="1F517A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b/>
                <w:color w:val="FFFFFF"/>
                <w:sz w:val="18"/>
              </w:rPr>
              <w:t>Сведения / возможности</w:t>
            </w:r>
          </w:p>
        </w:tc>
      </w:tr>
      <w:tr>
        <w:trPr>
          <w:cantSplit/>
        </w:trPr>
        <w:tc>
          <w:tcPr>
            <w:tcW w:type="dxa" w:w="2353"/>
            <w:vAlign w:val="center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b/>
                <w:color w:val="172D48"/>
                <w:sz w:val="18"/>
              </w:rPr>
              <w:t>Идентификация</w:t>
            </w:r>
          </w:p>
        </w:tc>
        <w:tc>
          <w:tcPr>
            <w:tcW w:type="dxa" w:w="7285"/>
            <w:vAlign w:val="center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color w:val="27333E"/>
                <w:sz w:val="18"/>
              </w:rPr>
              <w:t>Наименование, категория, производитель, модель, серийный и инвентарный номера.</w:t>
            </w:r>
          </w:p>
        </w:tc>
      </w:tr>
      <w:tr>
        <w:trPr>
          <w:cantSplit/>
        </w:trPr>
        <w:tc>
          <w:tcPr>
            <w:tcW w:type="dxa" w:w="2353"/>
            <w:vAlign w:val="center"/>
            <w:shd w:fill="F2F6F9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b/>
                <w:color w:val="172D48"/>
                <w:sz w:val="18"/>
              </w:rPr>
              <w:t>Учёт и состояние</w:t>
            </w:r>
          </w:p>
        </w:tc>
        <w:tc>
          <w:tcPr>
            <w:tcW w:type="dxa" w:w="7285"/>
            <w:vAlign w:val="center"/>
            <w:shd w:fill="F2F6F9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color w:val="27333E"/>
                <w:sz w:val="18"/>
              </w:rPr>
              <w:t>Согласованные поля из 1С, статус, местонахождение, подразделение, ответственный.</w:t>
            </w:r>
          </w:p>
        </w:tc>
      </w:tr>
      <w:tr>
        <w:trPr>
          <w:cantSplit/>
        </w:trPr>
        <w:tc>
          <w:tcPr>
            <w:tcW w:type="dxa" w:w="2353"/>
            <w:vAlign w:val="center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b/>
                <w:color w:val="172D48"/>
                <w:sz w:val="18"/>
              </w:rPr>
              <w:t>История и документы</w:t>
            </w:r>
          </w:p>
        </w:tc>
        <w:tc>
          <w:tcPr>
            <w:tcW w:type="dxa" w:w="7285"/>
            <w:vAlign w:val="center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color w:val="27333E"/>
                <w:sz w:val="18"/>
              </w:rPr>
              <w:t>Даты и участники операций, изменения статусов, акты, прикреплённые документы.</w:t>
            </w:r>
          </w:p>
        </w:tc>
      </w:tr>
    </w:tbl>
    <w:p>
      <w:pPr>
        <w:spacing w:after="0"/>
      </w:pPr>
    </w:p>
    <w:p>
      <w:pPr>
        <w:pStyle w:val="Small"/>
      </w:pPr>
      <w:r>
        <w:t>Предусмотреть поиск, фильтры, группировку, контроль обязательных полей, предупреждение о возможных дублях и выгрузку данных в пределах прав пользователей.</w:t>
      </w:r>
    </w:p>
    <w:p>
      <w:pPr>
        <w:pStyle w:val="Heading2"/>
      </w:pPr>
      <w:r>
        <w:t>4.2. Автоматизация движения техники</w:t>
      </w:r>
    </w:p>
    <w:p>
      <w:r>
        <w:t>Основные операции выполняются в Битрикс24 и связаны с карточкой оборудования. Для каждой операции фиксируются инициатор, ответственный, дата, решение и история изменений.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7710"/>
      </w:tblGrid>
      <w:tr>
        <w:trPr>
          <w:tblHeader w:val="true"/>
          <w:cantSplit/>
        </w:trPr>
        <w:tc>
          <w:tcPr>
            <w:tcW w:type="dxa" w:w="1928"/>
            <w:vAlign w:val="center"/>
            <w:shd w:fill="1F517A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b/>
                <w:color w:val="FFFFFF"/>
                <w:sz w:val="18"/>
              </w:rPr>
              <w:t>Операция</w:t>
            </w:r>
          </w:p>
        </w:tc>
        <w:tc>
          <w:tcPr>
            <w:tcW w:type="dxa" w:w="7710"/>
            <w:vAlign w:val="center"/>
            <w:shd w:fill="1F517A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b/>
                <w:color w:val="FFFFFF"/>
                <w:sz w:val="18"/>
              </w:rPr>
              <w:t>Требуемый сценарий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b/>
                <w:color w:val="172D48"/>
                <w:sz w:val="18"/>
              </w:rPr>
              <w:t>Выдача</w:t>
            </w:r>
          </w:p>
        </w:tc>
        <w:tc>
          <w:tcPr>
            <w:tcW w:type="dxa" w:w="7710"/>
            <w:vAlign w:val="center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color w:val="27333E"/>
                <w:sz w:val="18"/>
              </w:rPr>
              <w:t>Выбор техники и сотрудника, подтверждение операции, обновление ответственного и статуса, формирование акта.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2F6F9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b/>
                <w:color w:val="172D48"/>
                <w:sz w:val="18"/>
              </w:rPr>
              <w:t>Возврат</w:t>
            </w:r>
          </w:p>
        </w:tc>
        <w:tc>
          <w:tcPr>
            <w:tcW w:type="dxa" w:w="7710"/>
            <w:vAlign w:val="center"/>
            <w:shd w:fill="F2F6F9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color w:val="27333E"/>
                <w:sz w:val="18"/>
              </w:rPr>
              <w:t>Подтверждение приёма, обновление местонахождения и статуса, сохранение истории и документов.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b/>
                <w:color w:val="172D48"/>
                <w:sz w:val="18"/>
              </w:rPr>
              <w:t>Передача</w:t>
            </w:r>
          </w:p>
        </w:tc>
        <w:tc>
          <w:tcPr>
            <w:tcW w:type="dxa" w:w="7710"/>
            <w:vAlign w:val="center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color w:val="27333E"/>
                <w:sz w:val="18"/>
              </w:rPr>
              <w:t>Смена закрепления между сотрудниками или подразделениями с фиксацией оснований и согласования.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2F6F9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b/>
                <w:color w:val="172D48"/>
                <w:sz w:val="18"/>
              </w:rPr>
              <w:t>Ремонт</w:t>
            </w:r>
          </w:p>
        </w:tc>
        <w:tc>
          <w:tcPr>
            <w:tcW w:type="dxa" w:w="7710"/>
            <w:vAlign w:val="center"/>
            <w:shd w:fill="F2F6F9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color w:val="27333E"/>
                <w:sz w:val="18"/>
              </w:rPr>
              <w:t>Отражение передачи и возврата из ремонта, изменение статуса, история обслуживания.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b/>
                <w:color w:val="172D48"/>
                <w:sz w:val="18"/>
              </w:rPr>
              <w:t>Списание</w:t>
            </w:r>
          </w:p>
        </w:tc>
        <w:tc>
          <w:tcPr>
            <w:tcW w:type="dxa" w:w="7710"/>
            <w:vAlign w:val="center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color w:val="27333E"/>
                <w:sz w:val="18"/>
              </w:rPr>
              <w:t>Заявка и согласование, фиксация результата после подтверждения уполномоченными лицами.</w:t>
            </w:r>
          </w:p>
        </w:tc>
      </w:tr>
    </w:tbl>
    <w:p>
      <w:pPr>
        <w:spacing w:after="0"/>
      </w:pPr>
    </w:p>
    <w:p>
      <w:pPr>
        <w:pStyle w:val="Small"/>
      </w:pPr>
      <w:r>
        <w:t>Перечисленные операции входят в обязательный функциональный объём. Конкретные маршруты согласования, роли участников, формы актов, поля карточек и правила перехода статусов определяются после обследования и утверждаются до настройки процессов.</w:t>
      </w:r>
    </w:p>
    <w:p>
      <w:pPr>
        <w:pStyle w:val="Heading2"/>
      </w:pPr>
      <w:r>
        <w:t>4.3. Отчётность</w:t>
      </w:r>
    </w:p>
    <w:p>
      <w:pPr>
        <w:spacing w:after="40" w:line="250" w:lineRule="auto"/>
        <w:ind w:left="272" w:hanging="142"/>
      </w:pPr>
      <w:r>
        <w:rPr>
          <w:color w:val="1B5384"/>
        </w:rPr>
        <w:t xml:space="preserve">•  </w:t>
      </w:r>
      <w:r>
        <w:t>Списки оборудования по сотрудникам, подразделениям, местонахождению, категории и статусу.</w:t>
      </w:r>
    </w:p>
    <w:p>
      <w:pPr>
        <w:spacing w:after="40" w:line="250" w:lineRule="auto"/>
        <w:ind w:left="272" w:hanging="142"/>
      </w:pPr>
      <w:r>
        <w:rPr>
          <w:color w:val="1B5384"/>
        </w:rPr>
        <w:t xml:space="preserve">•  </w:t>
      </w:r>
      <w:r>
        <w:t>Сводка движения за выбранный период: выдача, возврат, передача, ремонт и списание.</w:t>
      </w:r>
    </w:p>
    <w:p>
      <w:pPr>
        <w:spacing w:after="40" w:line="250" w:lineRule="auto"/>
        <w:ind w:left="272" w:hanging="142"/>
      </w:pPr>
      <w:r>
        <w:rPr>
          <w:color w:val="1B5384"/>
        </w:rPr>
        <w:t xml:space="preserve">•  </w:t>
      </w:r>
      <w:r>
        <w:t>Подборки записей для уточнения и операций, ожидающих завершения.</w:t>
      </w:r>
    </w:p>
    <w:p>
      <w:pPr>
        <w:pStyle w:val="Heading1"/>
      </w:pPr>
      <w:r>
        <w:t>5. Доступ, информационная безопасность и эксплуатация</w:t>
      </w:r>
    </w:p>
    <w:p>
      <w:pPr>
        <w:spacing w:after="40" w:line="250" w:lineRule="auto"/>
        <w:ind w:left="272" w:hanging="142"/>
      </w:pPr>
      <w:r>
        <w:rPr>
          <w:color w:val="1B5384"/>
        </w:rPr>
        <w:t xml:space="preserve">•  </w:t>
      </w:r>
      <w:r>
        <w:t>Разделить полномочия IT-подразделения, бухгалтерии и прочих пользователей; доступ к редактированию ограничить по ролям.</w:t>
      </w:r>
    </w:p>
    <w:p>
      <w:pPr>
        <w:spacing w:after="40" w:line="250" w:lineRule="auto"/>
        <w:ind w:left="272" w:hanging="142"/>
      </w:pPr>
      <w:r>
        <w:rPr>
          <w:color w:val="1B5384"/>
        </w:rPr>
        <w:t xml:space="preserve">•  </w:t>
      </w:r>
      <w:r>
        <w:t>Вести журнал значимых действий: пользователь, время, прежние и новые значения, результат согласования.</w:t>
      </w:r>
    </w:p>
    <w:p>
      <w:pPr>
        <w:spacing w:after="40" w:line="250" w:lineRule="auto"/>
        <w:ind w:left="272" w:hanging="142"/>
      </w:pPr>
      <w:r>
        <w:rPr>
          <w:color w:val="1B5384"/>
        </w:rPr>
        <w:t xml:space="preserve">•  </w:t>
      </w:r>
      <w:r>
        <w:t>Обеспечить защищённую передачу данных и минимальные права сервисных учётных записей. Секреты не хранить в общедоступных полях.</w:t>
      </w:r>
    </w:p>
    <w:p>
      <w:pPr>
        <w:spacing w:after="40" w:line="250" w:lineRule="auto"/>
        <w:ind w:left="272" w:hanging="142"/>
      </w:pPr>
      <w:r>
        <w:rPr>
          <w:color w:val="1B5384"/>
        </w:rPr>
        <w:t xml:space="preserve">•  </w:t>
      </w:r>
      <w:r>
        <w:t>Реализовать обработку ошибок интеграции и повторный запуск. Схему обмена, права и состав данных согласовать с ИБ и бухгалтерией перед запуском.</w:t>
      </w:r>
    </w:p>
    <w:p>
      <w:pPr>
        <w:pStyle w:val="Heading1"/>
      </w:pPr>
      <w:r>
        <w:t>6. Этапы выполнения и критерии приёмки</w:t>
      </w:r>
    </w:p>
    <w:p>
      <w:pPr>
        <w:pStyle w:val="Heading2"/>
      </w:pPr>
      <w:r>
        <w:t>6.1. Последовательность работ</w:t>
      </w:r>
    </w:p>
    <w:p>
      <w:r>
        <w:t>Обследование текущих источников и процессов → согласование модели данных и ролей → проектирование интеграции → настройка Битрикс24 и обмена с 1С → тестирование → передача решения и инструкций.</w:t>
      </w:r>
    </w:p>
    <w:p>
      <w:pPr>
        <w:pStyle w:val="Heading2"/>
      </w:pPr>
      <w:r>
        <w:t>6.2. Проверяемые сценарии приёмки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53"/>
        <w:gridCol w:w="7285"/>
      </w:tblGrid>
      <w:tr>
        <w:trPr>
          <w:tblHeader w:val="true"/>
          <w:cantSplit/>
        </w:trPr>
        <w:tc>
          <w:tcPr>
            <w:tcW w:type="dxa" w:w="2353"/>
            <w:vAlign w:val="center"/>
            <w:shd w:fill="1F517A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b/>
                <w:color w:val="FFFFFF"/>
                <w:sz w:val="18"/>
              </w:rPr>
              <w:t>Проверка</w:t>
            </w:r>
          </w:p>
        </w:tc>
        <w:tc>
          <w:tcPr>
            <w:tcW w:type="dxa" w:w="7285"/>
            <w:vAlign w:val="center"/>
            <w:shd w:fill="1F517A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b/>
                <w:color w:val="FFFFFF"/>
                <w:sz w:val="18"/>
              </w:rPr>
              <w:t>Ожидаемый результат</w:t>
            </w:r>
          </w:p>
        </w:tc>
      </w:tr>
      <w:tr>
        <w:trPr>
          <w:cantSplit/>
        </w:trPr>
        <w:tc>
          <w:tcPr>
            <w:tcW w:type="dxa" w:w="2353"/>
            <w:vAlign w:val="center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b/>
                <w:color w:val="172D48"/>
                <w:sz w:val="18"/>
              </w:rPr>
              <w:t>Доступность в Битрикс24</w:t>
            </w:r>
          </w:p>
        </w:tc>
        <w:tc>
          <w:tcPr>
            <w:tcW w:type="dxa" w:w="7285"/>
            <w:vAlign w:val="center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color w:val="27333E"/>
                <w:sz w:val="18"/>
              </w:rPr>
              <w:t>Реестр, карточки, поиск и основные действия доступны непосредственно в портале без отдельной рабочей платформы.</w:t>
            </w:r>
          </w:p>
        </w:tc>
      </w:tr>
      <w:tr>
        <w:trPr>
          <w:cantSplit/>
        </w:trPr>
        <w:tc>
          <w:tcPr>
            <w:tcW w:type="dxa" w:w="2353"/>
            <w:vAlign w:val="center"/>
            <w:shd w:fill="F2F6F9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b/>
                <w:color w:val="172D48"/>
                <w:sz w:val="18"/>
              </w:rPr>
              <w:t>Первичная загрузка</w:t>
            </w:r>
          </w:p>
        </w:tc>
        <w:tc>
          <w:tcPr>
            <w:tcW w:type="dxa" w:w="7285"/>
            <w:vAlign w:val="center"/>
            <w:shd w:fill="F2F6F9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color w:val="27333E"/>
                <w:sz w:val="18"/>
              </w:rPr>
              <w:t>Согласованные записи загружены; повторная загрузка не создаёт необоснованных дублей; сомнительные совпадения отмечены.</w:t>
            </w:r>
          </w:p>
        </w:tc>
      </w:tr>
      <w:tr>
        <w:trPr>
          <w:cantSplit/>
        </w:trPr>
        <w:tc>
          <w:tcPr>
            <w:tcW w:type="dxa" w:w="2353"/>
            <w:vAlign w:val="center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b/>
                <w:color w:val="172D48"/>
                <w:sz w:val="18"/>
              </w:rPr>
              <w:t>Обновление из 1С</w:t>
            </w:r>
          </w:p>
        </w:tc>
        <w:tc>
          <w:tcPr>
            <w:tcW w:type="dxa" w:w="7285"/>
            <w:vAlign w:val="center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color w:val="27333E"/>
                <w:sz w:val="18"/>
              </w:rPr>
              <w:t>Изменение тестового бухгалтерского поля отражается в карточке по регламенту; оперативные поля не перезаписываются.</w:t>
            </w:r>
          </w:p>
        </w:tc>
      </w:tr>
      <w:tr>
        <w:trPr>
          <w:cantSplit/>
        </w:trPr>
        <w:tc>
          <w:tcPr>
            <w:tcW w:type="dxa" w:w="2353"/>
            <w:vAlign w:val="center"/>
            <w:shd w:fill="F2F6F9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b/>
                <w:color w:val="172D48"/>
                <w:sz w:val="18"/>
              </w:rPr>
              <w:t>Выдача и возврат</w:t>
            </w:r>
          </w:p>
        </w:tc>
        <w:tc>
          <w:tcPr>
            <w:tcW w:type="dxa" w:w="7285"/>
            <w:vAlign w:val="center"/>
            <w:shd w:fill="F2F6F9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color w:val="27333E"/>
                <w:sz w:val="18"/>
              </w:rPr>
              <w:t>Операции меняют статус и ответственного, сохраняют историю и сформированные документы по согласованному шаблону.</w:t>
            </w:r>
          </w:p>
        </w:tc>
      </w:tr>
      <w:tr>
        <w:trPr>
          <w:cantSplit/>
        </w:trPr>
        <w:tc>
          <w:tcPr>
            <w:tcW w:type="dxa" w:w="2353"/>
            <w:vAlign w:val="center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b/>
                <w:color w:val="172D48"/>
                <w:sz w:val="18"/>
              </w:rPr>
              <w:t>Ошибки и права</w:t>
            </w:r>
          </w:p>
        </w:tc>
        <w:tc>
          <w:tcPr>
            <w:tcW w:type="dxa" w:w="7285"/>
            <w:vAlign w:val="center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color w:val="27333E"/>
                <w:sz w:val="18"/>
              </w:rPr>
              <w:t>Ошибки обмена видны ответственным; пользователи без прав не могут изменять ограниченные сведения.</w:t>
            </w:r>
          </w:p>
        </w:tc>
      </w:tr>
      <w:tr>
        <w:trPr>
          <w:cantSplit/>
        </w:trPr>
        <w:tc>
          <w:tcPr>
            <w:tcW w:type="dxa" w:w="2353"/>
            <w:vAlign w:val="center"/>
            <w:shd w:fill="F2F6F9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b/>
                <w:color w:val="172D48"/>
                <w:sz w:val="18"/>
              </w:rPr>
              <w:t>Отчётность</w:t>
            </w:r>
          </w:p>
        </w:tc>
        <w:tc>
          <w:tcPr>
            <w:tcW w:type="dxa" w:w="7285"/>
            <w:vAlign w:val="center"/>
            <w:shd w:fill="F2F6F9"/>
            <w:tcBorders>
              <w:bottom w:val="single" w:sz="4" w:color="DEE5EB"/>
            </w:tcBorders>
          </w:tcPr>
          <w:p>
            <w:pPr>
              <w:spacing w:after="0" w:before="0" w:line="251" w:lineRule="auto"/>
            </w:pPr>
            <w:r/>
            <w:r>
              <w:rPr>
                <w:rFonts w:ascii="Carlito" w:hAnsi="Carlito"/>
                <w:color w:val="27333E"/>
                <w:sz w:val="18"/>
              </w:rPr>
              <w:t>Доступны реестры и выборки по статусу, сотруднику и истории операций.</w:t>
            </w:r>
          </w:p>
        </w:tc>
      </w:tr>
    </w:tbl>
    <w:p>
      <w:pPr>
        <w:spacing w:after="0"/>
      </w:pPr>
    </w:p>
    <w:p>
      <w:pPr>
        <w:pStyle w:val="Small"/>
      </w:pPr>
      <w:r>
        <w:t>Итоговый результат работы исполнителя: внедрённое и протестированное решение, функционирующее непосредственно в действующем Битрикс24, с настроенной интеграцией 1С и согласованными бизнес-процессами. Исполнитель передаёт карту полей и схему обмена, правила синхронизации, инструкции для пользователей и администраторов, а также протокол проверки и приёмки основных сценариев.</w:t>
      </w:r>
    </w:p>
    <w:p>
      <w:pPr>
        <w:pStyle w:val="Heading1"/>
      </w:pPr>
      <w:r>
        <w:t>7. Ожидаемый эффект</w:t>
      </w:r>
    </w:p>
    <w:p>
      <w:r>
        <w:t>Снижение времени на актуализацию реестров и сверку, сокращение повторных действий, более оперативное получение сведений о технике и удобное взаимодействие IT-подразделения с бухгалтерией. Результат предлагается оценивать по времени обработки операций, объёму ручной сверки и полноте данных в Битрикс24.</w:t>
      </w:r>
    </w:p>
    <w:p>
      <w:pPr>
        <w:pStyle w:val="Heading1"/>
      </w:pPr>
      <w:r>
        <w:t>8. Формат взаимодействия и уточняемые параметры</w:t>
      </w:r>
    </w:p>
    <w:p>
      <w:r>
        <w:t>Формат взаимодействия: проектирование, разработка, тестирование и внедрение решения под ключ. После обследования совместно с заказчиком уточняются конфигурация 1С, доступные механизмы интеграции, состав и объём данных, периодичность обмена, права пользователей, маршруты согласования и шаблоны документов. Выбранная архитектура, параметры синхронизации, этапы и сроки реализации согласуются с ответственными подразделениями, включая бухгалтерию и ИБ, до начала соответствующих работ. Основной интерфейс и все операции учёта должны оставаться внутри Битрикс24.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92" w:right="1077" w:bottom="879" w:left="1191" w:header="454" w:footer="4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737F"/>
        <w:sz w:val="16"/>
      </w:rPr>
      <w:t xml:space="preserve">ТЗ  |  Битрикс24 + 1С     •     Стр.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rlito" w:hAnsi="Carlito"/>
        <w:b/>
        <w:color w:val="66737F"/>
        <w:sz w:val="16"/>
      </w:rPr>
      <w:t>ТЕХНОЛОГИЧЕСКАЯ ЗАДАЧА  /  ASTANA HUB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6" w:line="260" w:lineRule="auto"/>
    </w:pPr>
    <w:rPr>
      <w:rFonts w:ascii="Carlito" w:hAnsi="Carlito" w:eastAsia="Carlito"/>
      <w:b w:val="0"/>
      <w:color w:val="27333E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rlito" w:hAnsi="Carlito" w:eastAsia="Carlito"/>
      <w:b/>
      <w:bCs/>
      <w:color w:val="172D48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Carlito" w:hAnsi="Carlito" w:eastAsia="Carlito"/>
      <w:b/>
      <w:bCs/>
      <w:color w:val="1B5384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eta">
    <w:name w:val="Meta"/>
    <w:basedOn w:val="Normal"/>
    <w:pPr>
      <w:spacing w:after="80" w:line="254" w:lineRule="auto"/>
    </w:pPr>
    <w:rPr>
      <w:rFonts w:ascii="Carlito" w:hAnsi="Carlito"/>
      <w:b/>
      <w:color w:val="66737F"/>
      <w:sz w:val="16"/>
    </w:rPr>
  </w:style>
  <w:style w:type="paragraph" w:customStyle="1" w:styleId="Lead">
    <w:name w:val="Lead"/>
    <w:basedOn w:val="Normal"/>
    <w:pPr>
      <w:spacing w:after="80" w:line="254" w:lineRule="auto"/>
    </w:pPr>
    <w:rPr>
      <w:rFonts w:ascii="Carlito" w:hAnsi="Carlito"/>
      <w:b w:val="0"/>
      <w:color w:val="27333E"/>
      <w:sz w:val="20"/>
    </w:rPr>
  </w:style>
  <w:style w:type="paragraph" w:customStyle="1" w:styleId="Small">
    <w:name w:val="Small"/>
    <w:basedOn w:val="Normal"/>
    <w:pPr>
      <w:spacing w:after="80" w:line="254" w:lineRule="auto"/>
    </w:pPr>
    <w:rPr>
      <w:rFonts w:ascii="Carlito" w:hAnsi="Carlito"/>
      <w:b w:val="0"/>
      <w:color w:val="27333E"/>
      <w:sz w:val="18"/>
    </w:rPr>
  </w:style>
  <w:style w:type="paragraph" w:customStyle="1" w:styleId="Note">
    <w:name w:val="Note"/>
    <w:basedOn w:val="Normal"/>
    <w:pPr>
      <w:spacing w:after="80" w:line="254" w:lineRule="auto"/>
    </w:pPr>
    <w:rPr>
      <w:rFonts w:ascii="Carlito" w:hAnsi="Carlito"/>
      <w:b w:val="0"/>
      <w:color w:val="66737F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задание: автоматизация учёта корпоративной техники в Битрикс24 с интеграцией 1С</dc:title>
  <dc:subject>Технологическая задача для размещения на Astana Hub</dc:subject>
  <dc:creator/>
  <cp:keywords>Битрикс24, 1С, технологическая задача, интеграция, учёт техники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